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3969"/>
        <w:gridCol w:w="1560"/>
        <w:gridCol w:w="3969"/>
      </w:tblGrid>
      <w:tr w:rsidR="00E935A7" w:rsidTr="0074465F">
        <w:tc>
          <w:tcPr>
            <w:tcW w:w="3969" w:type="dxa"/>
          </w:tcPr>
          <w:p w:rsidR="00E935A7" w:rsidRDefault="00E935A7" w:rsidP="00662877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E935A7" w:rsidRDefault="00E935A7" w:rsidP="00662877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E935A7" w:rsidRDefault="00E935A7" w:rsidP="00662877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E935A7" w:rsidTr="0074465F">
        <w:trPr>
          <w:trHeight w:val="2593"/>
        </w:trPr>
        <w:tc>
          <w:tcPr>
            <w:tcW w:w="3969" w:type="dxa"/>
          </w:tcPr>
          <w:p w:rsidR="00E935A7" w:rsidRDefault="00E935A7" w:rsidP="00662877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35A7" w:rsidRDefault="00E935A7" w:rsidP="00662877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35A7" w:rsidRDefault="00E935A7" w:rsidP="00662877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5A7" w:rsidRDefault="00E935A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E935A7" w:rsidRDefault="00E935A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E935A7" w:rsidRPr="00D73534" w:rsidRDefault="00E935A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D73534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D73534">
        <w:rPr>
          <w:sz w:val="40"/>
          <w:szCs w:val="24"/>
        </w:rPr>
        <w:t>КОНКУРСНАЯ ДОКУМЕНТАЦИЯ</w:t>
      </w:r>
    </w:p>
    <w:p w:rsidR="00327540" w:rsidRPr="00D73534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D66B13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534">
        <w:rPr>
          <w:rFonts w:ascii="Times New Roman" w:hAnsi="Times New Roman"/>
          <w:sz w:val="28"/>
          <w:szCs w:val="28"/>
          <w:lang w:val="uz-Cyrl-UZ"/>
        </w:rPr>
        <w:t xml:space="preserve">Строительство банковского экспресс пункта 24/7 работающий круглосуточно в </w:t>
      </w:r>
      <w:r w:rsidR="009610D4" w:rsidRPr="00D73534">
        <w:rPr>
          <w:rFonts w:ascii="Times New Roman" w:hAnsi="Times New Roman"/>
          <w:sz w:val="28"/>
          <w:szCs w:val="28"/>
          <w:lang w:val="uz-Cyrl-UZ"/>
        </w:rPr>
        <w:t>Шахрисабзском</w:t>
      </w:r>
      <w:r w:rsidRPr="00D73534">
        <w:rPr>
          <w:rFonts w:ascii="Times New Roman" w:hAnsi="Times New Roman"/>
          <w:sz w:val="28"/>
          <w:szCs w:val="28"/>
          <w:lang w:val="uz-Cyrl-UZ"/>
        </w:rPr>
        <w:t xml:space="preserve"> филиале АО </w:t>
      </w:r>
      <w:r w:rsidR="00212E64" w:rsidRPr="00D73534">
        <w:rPr>
          <w:rFonts w:ascii="Times New Roman" w:hAnsi="Times New Roman"/>
          <w:sz w:val="28"/>
          <w:szCs w:val="28"/>
        </w:rPr>
        <w:t xml:space="preserve">«Национальный банк </w:t>
      </w:r>
      <w:r w:rsidR="00DF67A1" w:rsidRPr="00D73534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D73534">
        <w:rPr>
          <w:rFonts w:ascii="Times New Roman" w:hAnsi="Times New Roman"/>
          <w:sz w:val="28"/>
          <w:szCs w:val="28"/>
        </w:rPr>
        <w:t>»</w:t>
      </w:r>
    </w:p>
    <w:p w:rsidR="00327540" w:rsidRPr="00D73534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D73534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D73534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D73534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D73534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D73534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D73534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D73534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9D1CB6" w:rsidP="00661046">
      <w:pPr>
        <w:pStyle w:val="a5"/>
        <w:spacing w:line="240" w:lineRule="auto"/>
        <w:ind w:left="426"/>
        <w:rPr>
          <w:sz w:val="24"/>
        </w:rPr>
      </w:pPr>
      <w:r w:rsidRPr="00D73534">
        <w:rPr>
          <w:b/>
        </w:rPr>
        <w:t>З</w:t>
      </w:r>
      <w:r w:rsidR="00327540" w:rsidRPr="00D73534">
        <w:rPr>
          <w:b/>
        </w:rPr>
        <w:t>аказчик:</w:t>
      </w:r>
      <w:r w:rsidR="00327540" w:rsidRPr="00D73534">
        <w:t xml:space="preserve"> </w:t>
      </w:r>
      <w:r w:rsidR="00E6261B" w:rsidRPr="00D73534">
        <w:t>АО «Национальный банк внешнеэкономической деятельности Республики Узбекистан»</w:t>
      </w:r>
    </w:p>
    <w:p w:rsidR="00327540" w:rsidRPr="00D7353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Pr="00D73534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Ташкент – 20</w:t>
      </w:r>
      <w:r w:rsidR="0041592B" w:rsidRPr="00D73534">
        <w:rPr>
          <w:rFonts w:ascii="Times New Roman" w:hAnsi="Times New Roman" w:cs="Times New Roman"/>
          <w:sz w:val="24"/>
          <w:szCs w:val="24"/>
        </w:rPr>
        <w:t>2</w:t>
      </w:r>
      <w:r w:rsidR="00D06518" w:rsidRPr="00D73534">
        <w:rPr>
          <w:rFonts w:ascii="Times New Roman" w:hAnsi="Times New Roman" w:cs="Times New Roman"/>
          <w:sz w:val="24"/>
          <w:szCs w:val="24"/>
        </w:rPr>
        <w:t>1</w:t>
      </w:r>
      <w:r w:rsidRPr="00D73534">
        <w:rPr>
          <w:rFonts w:ascii="Times New Roman" w:hAnsi="Times New Roman" w:cs="Times New Roman"/>
          <w:sz w:val="24"/>
          <w:szCs w:val="24"/>
        </w:rPr>
        <w:t xml:space="preserve">г. </w:t>
      </w:r>
      <w:r w:rsidRPr="00D7353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D73534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D73534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D73534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D73534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D73534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D73534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D73534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D73534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D73534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3"/>
        <w:gridCol w:w="33"/>
        <w:gridCol w:w="2553"/>
        <w:gridCol w:w="74"/>
        <w:gridCol w:w="635"/>
        <w:gridCol w:w="74"/>
        <w:gridCol w:w="209"/>
        <w:gridCol w:w="75"/>
        <w:gridCol w:w="6588"/>
      </w:tblGrid>
      <w:tr w:rsidR="008F0754" w:rsidRPr="00D73534" w:rsidTr="00E935A7">
        <w:tc>
          <w:tcPr>
            <w:tcW w:w="566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hideMark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</w:pPr>
            <w:r w:rsidRPr="00D735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Общие положения</w:t>
            </w:r>
          </w:p>
        </w:tc>
        <w:tc>
          <w:tcPr>
            <w:tcW w:w="709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hideMark/>
          </w:tcPr>
          <w:p w:rsidR="008F0754" w:rsidRPr="00D73534" w:rsidRDefault="00E935A7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Настоящая конкурсная документация разработана </w:t>
            </w: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соответствии с требованиями Закона Республики Узбекистан «О государственных закупках» (далее - Закон).</w:t>
            </w:r>
          </w:p>
        </w:tc>
      </w:tr>
      <w:tr w:rsidR="008F0754" w:rsidRPr="00D73534" w:rsidTr="00E935A7">
        <w:tc>
          <w:tcPr>
            <w:tcW w:w="566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D73534" w:rsidRDefault="008F0754" w:rsidP="00E935A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Предмет конкурса: </w:t>
            </w:r>
          </w:p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конкурса: Строительство банковского экспресс пункта 24/7 работающий круглосуточно в </w:t>
            </w:r>
            <w:proofErr w:type="spellStart"/>
            <w:r w:rsidR="009610D4" w:rsidRPr="00D73534">
              <w:rPr>
                <w:rFonts w:ascii="Times New Roman" w:hAnsi="Times New Roman" w:cs="Times New Roman"/>
                <w:sz w:val="24"/>
                <w:szCs w:val="24"/>
              </w:rPr>
              <w:t>Шахрисабзском</w:t>
            </w:r>
            <w:proofErr w:type="spellEnd"/>
            <w:r w:rsidR="00D66B13"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филиале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АО «Национальный банк внешнеэкономической деятельности Республики Узбекистан»</w:t>
            </w:r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</w:t>
            </w:r>
          </w:p>
        </w:tc>
      </w:tr>
      <w:tr w:rsidR="008F0754" w:rsidRPr="00D73534" w:rsidTr="00E935A7">
        <w:tc>
          <w:tcPr>
            <w:tcW w:w="566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конкурса </w:t>
            </w:r>
            <w:r w:rsidR="00E935A7" w:rsidRPr="00D73534">
              <w:rPr>
                <w:rFonts w:ascii="Times New Roman" w:hAnsi="Times New Roman" w:cs="Times New Roman"/>
                <w:sz w:val="24"/>
                <w:szCs w:val="24"/>
              </w:rPr>
              <w:t>составляет:</w:t>
            </w:r>
            <w:r w:rsidR="00E9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10D4"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610D4"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706</w:t>
            </w: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610D4"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10D4" w:rsidRPr="00D73534">
              <w:rPr>
                <w:rFonts w:ascii="Times New Roman" w:hAnsi="Times New Roman" w:cs="Times New Roman"/>
                <w:sz w:val="24"/>
                <w:szCs w:val="24"/>
              </w:rPr>
              <w:t>девяносто семь миллионов семьсот шесть тысяч четыреста пятнадцать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E935A7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E9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 учетом НДС.</w:t>
            </w:r>
          </w:p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Цены, указанные в предложении, не должны превышать предельную стоимость.</w:t>
            </w:r>
          </w:p>
        </w:tc>
      </w:tr>
      <w:tr w:rsidR="008F0754" w:rsidRPr="00D73534" w:rsidTr="00E935A7">
        <w:tc>
          <w:tcPr>
            <w:tcW w:w="566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задание на закупаемую услугу (работ) представлено в технической части конкурсной документации.</w:t>
            </w:r>
          </w:p>
        </w:tc>
      </w:tr>
      <w:tr w:rsidR="008F0754" w:rsidRPr="00D73534" w:rsidTr="00E935A7">
        <w:trPr>
          <w:trHeight w:val="461"/>
        </w:trPr>
        <w:tc>
          <w:tcPr>
            <w:tcW w:w="566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заседания конкурсной комиссии – очная.</w:t>
            </w:r>
          </w:p>
        </w:tc>
      </w:tr>
      <w:tr w:rsidR="008F0754" w:rsidRPr="00D73534" w:rsidTr="00E935A7">
        <w:tc>
          <w:tcPr>
            <w:tcW w:w="566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hideMark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Организаторы конкурса</w:t>
            </w:r>
          </w:p>
        </w:tc>
        <w:tc>
          <w:tcPr>
            <w:tcW w:w="709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Узнацбанк</w:t>
            </w:r>
            <w:proofErr w:type="spellEnd"/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», «Банк») конкурса.</w:t>
            </w:r>
          </w:p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 «Заказчика»: </w:t>
            </w:r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101» . </w:t>
            </w:r>
          </w:p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Реквизиты «Заказчика»: </w:t>
            </w:r>
          </w:p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МФО: 00450;</w:t>
            </w:r>
          </w:p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ИНН: 200836354;</w:t>
            </w:r>
          </w:p>
        </w:tc>
      </w:tr>
      <w:tr w:rsidR="008F0754" w:rsidRPr="00D73534" w:rsidTr="00E935A7">
        <w:tc>
          <w:tcPr>
            <w:tcW w:w="566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Рабочим органом комиссии является Служба организации закупок при Департаменте стратегического развития банка </w:t>
            </w:r>
            <w:proofErr w:type="spellStart"/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Банка</w:t>
            </w:r>
            <w:proofErr w:type="spellEnd"/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(далее - «Рабочий орган»).</w:t>
            </w:r>
          </w:p>
          <w:p w:rsidR="008F0754" w:rsidRPr="00D73534" w:rsidRDefault="008F0754" w:rsidP="00E935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Адрес: </w:t>
            </w:r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101» . </w:t>
            </w:r>
          </w:p>
          <w:p w:rsidR="008F0754" w:rsidRPr="00D73534" w:rsidRDefault="008F0754" w:rsidP="00E935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Контактное лицо Организатора: Мансуров А. Р.</w:t>
            </w:r>
          </w:p>
          <w:p w:rsidR="008F0754" w:rsidRPr="00D73534" w:rsidRDefault="008F0754" w:rsidP="00E935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Тел: +99878 147 15 27  </w:t>
            </w:r>
            <w:proofErr w:type="spellStart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внутр</w:t>
            </w:r>
            <w:proofErr w:type="spellEnd"/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.: 17-70</w:t>
            </w:r>
          </w:p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E</w:t>
            </w:r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-</w:t>
            </w:r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mail</w:t>
            </w:r>
            <w:r w:rsidRPr="00D7353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: </w:t>
            </w:r>
            <w:hyperlink r:id="rId9" w:history="1">
              <w:r w:rsidRPr="00D7353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Amansurov</w:t>
              </w:r>
              <w:r w:rsidRPr="00D7353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@</w:t>
              </w:r>
              <w:r w:rsidRPr="00D7353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nbu</w:t>
              </w:r>
              <w:r w:rsidRPr="00D7353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7353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uz</w:t>
              </w:r>
              <w:proofErr w:type="spellEnd"/>
            </w:hyperlink>
          </w:p>
        </w:tc>
      </w:tr>
      <w:tr w:rsidR="008F0754" w:rsidRPr="00D73534" w:rsidTr="00E935A7">
        <w:tc>
          <w:tcPr>
            <w:tcW w:w="566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hideMark/>
          </w:tcPr>
          <w:p w:rsidR="008F0754" w:rsidRPr="00D73534" w:rsidRDefault="00E935A7" w:rsidP="00E935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ержатель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</w:t>
            </w:r>
            <w:r w:rsidR="008F0754"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оговор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  <w:r w:rsidR="008F0754"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9610D4" w:rsidRPr="00D73534">
              <w:rPr>
                <w:rFonts w:ascii="Times New Roman" w:hAnsi="Times New Roman" w:cs="Times New Roman"/>
                <w:sz w:val="24"/>
                <w:szCs w:val="24"/>
              </w:rPr>
              <w:t>Шахрисабзский</w:t>
            </w:r>
            <w:proofErr w:type="spellEnd"/>
            <w:r w:rsidR="008F0754"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</w:r>
            <w:r w:rsidR="008F0754"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АО «Национальный банк внешнеэкономической деятельности Республики Узбекистан».</w:t>
            </w:r>
          </w:p>
        </w:tc>
      </w:tr>
      <w:tr w:rsidR="008F0754" w:rsidRPr="00D73534" w:rsidTr="00E935A7">
        <w:tc>
          <w:tcPr>
            <w:tcW w:w="566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83" w:type="dxa"/>
            <w:gridSpan w:val="2"/>
          </w:tcPr>
          <w:p w:rsidR="008F0754" w:rsidRPr="00D73534" w:rsidRDefault="008F0754" w:rsidP="00E935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hideMark/>
          </w:tcPr>
          <w:p w:rsidR="008F0754" w:rsidRPr="00D73534" w:rsidRDefault="008F0754" w:rsidP="00E93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проводится конкурсной комиссией, созданной Заказчиком, в составе не менее пяти членов.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Участники конкурса</w:t>
            </w: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3.1</w:t>
            </w:r>
          </w:p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конкурсе могут принять участие любые юридические лица</w:t>
            </w: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независимо от форм собственности, за исключением юридических лиц, приведенных в ИУК 5.3.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3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 должны соответствовать следующим критериям:</w:t>
            </w:r>
          </w:p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правомочность на заключение договора;</w:t>
            </w:r>
          </w:p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отсутствие задолженности по уплате налогов и других обязательных платежей; </w:t>
            </w:r>
          </w:p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 отсутствие введенных в отношении них процедур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банкротства;</w:t>
            </w:r>
          </w:p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 отсутствие судебного или арбитражного разбирательства с «Заказчиком»;</w:t>
            </w:r>
          </w:p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отсутствие записи о них в Едином реестре недобросовестных исполнителей.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241" w:type="dxa"/>
            <w:gridSpan w:val="8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</w:p>
        </w:tc>
      </w:tr>
      <w:tr w:rsidR="00E935A7" w:rsidRPr="00F026F8" w:rsidTr="00E935A7">
        <w:trPr>
          <w:trHeight w:val="3179"/>
        </w:trPr>
        <w:tc>
          <w:tcPr>
            <w:tcW w:w="533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0" w:type="dxa"/>
            <w:gridSpan w:val="3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Порядок получения конкурсной документации</w:t>
            </w: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 участия в конкурсе, участник должен:</w:t>
            </w:r>
          </w:p>
          <w:p w:rsidR="00E935A7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а) получить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(скачать)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электронную версию конкурсной документации, размещенную на вэб-сайте </w:t>
            </w:r>
            <w:hyperlink r:id="rId10" w:history="1">
              <w:r w:rsidRPr="00CD5CB3">
                <w:rPr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www.nbu.uz</w:t>
              </w:r>
            </w:hyperlink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CD5CB3">
                <w:rPr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www.xarid.uz</w:t>
              </w:r>
            </w:hyperlink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ознакомления с условиями закупки,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конкурса, а также адрес и банковские реквизиты участника;</w:t>
            </w:r>
          </w:p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б) подать квалификационные документы и предложение в соответствии с требованиями 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настоящей ИУК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E935A7" w:rsidRPr="00F026F8" w:rsidTr="00E935A7">
        <w:tc>
          <w:tcPr>
            <w:tcW w:w="533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0" w:type="dxa"/>
            <w:gridSpan w:val="3"/>
            <w:hideMark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Квалификационный отбор участников для участия в конкурсе</w:t>
            </w: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начал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конкурса, конкурсной комиссией производится квалификационный отбор участников. К дальнейшему участию в конкурсе допускаются только те участники, которые прошли квалификационный отбор.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 квалификационном отборе участников,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к участию в конкурсе не допускаются организации: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bookmarkStart w:id="1" w:name="_Hlk515441361"/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на стадии реорганизации, ликвидации или банкротства;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Едином реестре недобросовестных исполнителей;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имеющиеся задолженности по уплате налогов и других обязательных платежей;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Критерии квалификационной оценки представлены 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Приложении №2</w:t>
            </w:r>
          </w:p>
        </w:tc>
      </w:tr>
      <w:bookmarkEnd w:id="1"/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отстраняет участника от участия в конкурсе, если: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E935A7" w:rsidRPr="00F026F8" w:rsidTr="00E935A7">
        <w:tc>
          <w:tcPr>
            <w:tcW w:w="533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Язык конкурса, единица измерений.</w:t>
            </w:r>
          </w:p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E935A7" w:rsidRPr="00F026F8" w:rsidTr="00E935A7">
        <w:tc>
          <w:tcPr>
            <w:tcW w:w="533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0" w:type="dxa"/>
            <w:gridSpan w:val="3"/>
            <w:hideMark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Предложение и порядок его оформления</w:t>
            </w: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конкурса: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вправе подать только одно предложение;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состоит из двух частей: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себе подробное описание предлагаемой услуги;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ценовая часть должна соответствовать условиям конкурса и содержать следующую информацию: наименование услуги (работ), цена услуги, итоговая сумма, условия поставки, условия платежа, срок действия предложения и т.п.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оформляется нижеследующим образом.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внешний конверт;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внутренний конверт с техническим предложением;</w:t>
            </w:r>
          </w:p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внутренний конверт с ценовым предложением. 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F026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На внешнем и внутреннем конвертах, должна быть </w:t>
            </w:r>
            <w:r w:rsidRPr="00F026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проставлена печать участника в местах склейки конверта.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внешнем конверте должно быть указано: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CD5CB3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отметка «оригинал» или «копия»;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предмета конкурса;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участника;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«Внешний конверт»;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bookmarkStart w:id="2" w:name="_Hlk505348253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заказчика и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его адрес;</w:t>
            </w:r>
            <w:bookmarkEnd w:id="2"/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CD5CB3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надпись «не вскрывать до последнего срока подачи предложений 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(указать время и дату вскрытия конвертов)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внутренних конвертах должно быть указано: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CD5CB3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отметка «оригинал» или «копия»;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предмета конкурса;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участника;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заказчика и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его адрес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технической частью»;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ценовой частью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надпись: «вскрыть после успешного прохождения квалификационного отбора».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 техническом конверте.</w:t>
            </w:r>
          </w:p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Пакет технического предложения должен содержать следующие документы: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оригинал и копия технического предложения;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перечень документации содержащие полное 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подробное описание предлагаемой услуги (работ).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в соответствии с формой №5, прилагаемой к данной инструкции.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shd w:val="clear" w:color="auto" w:fill="FFFFFF" w:themeFill="background1"/>
            <w:hideMark/>
          </w:tcPr>
          <w:p w:rsidR="00E935A7" w:rsidRPr="00F026F8" w:rsidRDefault="00E935A7" w:rsidP="00662877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Предложения принимаются до __:__ часов местного времени __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апреля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2021 года по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адресу: 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101. 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7.18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действия предложения участников должен составлять не менее 60 дней со дня окончания представления предложений.</w:t>
            </w:r>
          </w:p>
        </w:tc>
      </w:tr>
      <w:tr w:rsidR="00E935A7" w:rsidRPr="00F026F8" w:rsidTr="00E935A7">
        <w:tc>
          <w:tcPr>
            <w:tcW w:w="533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0" w:type="dxa"/>
            <w:gridSpan w:val="3"/>
            <w:hideMark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Продление срока предоставления предложений</w:t>
            </w: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комиссия может принять решение о переносе даты закрытия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Решение о продлении срока принимается только на заседании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Объявления о продлении сроков представления предложений размещается в СМИ и официальном вэб-сайте заказчика.</w:t>
            </w:r>
          </w:p>
        </w:tc>
      </w:tr>
      <w:tr w:rsidR="00E935A7" w:rsidRPr="00F026F8" w:rsidTr="00E935A7">
        <w:tc>
          <w:tcPr>
            <w:tcW w:w="533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0" w:type="dxa"/>
            <w:gridSpan w:val="3"/>
            <w:hideMark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Время, указанное в объявлении как время проведения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ная комиссия для проведения оценки предложений вскрывает конверты с предложениями, поданными участниками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Рабочий орган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первом этапе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производится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второй этап допускаются участники, прошедшие первый этап.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втором этапе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проводятся вскрытие и оценка ценовой части предложения. Решение конкурсной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комиссии свое заключение.   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установления недостоверности информации, содержащейся в документах, представленных участником, конкурсная комиссия вправе отстранить такого участника от участия в конкурсе на любом этапе.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Оценка предложений и определение победителя производятся на основании критериев, изложенных в конкурсной документации (Приложение №2).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признается надлежаще оформленным, если оно соответствует требованиям Закона, постановлений и конкурсной документации.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 комиссия отклоняет предложение, если подавший его участник не соответствует требованиям, установленным Законом и постановлениями или предложение участника не соответствует требованиям конкурсной документации.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shd w:val="clear" w:color="auto" w:fill="FFFFFF" w:themeFill="background1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Победителем признается участник, предложивший лучшие условия исполнения договора, при соблюдении требований указанных в конкурсной документации.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 наличии арифметических или иных ошибок конкурсная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Протокол рассмотрения и оценки предложений подписывается всеми членами конкурсной комиссии.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Любой участник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E935A7" w:rsidRPr="00F026F8" w:rsidTr="00E935A7">
        <w:tc>
          <w:tcPr>
            <w:tcW w:w="533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660" w:type="dxa"/>
            <w:gridSpan w:val="3"/>
            <w:hideMark/>
          </w:tcPr>
          <w:p w:rsidR="00E935A7" w:rsidRPr="00F026F8" w:rsidRDefault="00E935A7" w:rsidP="0066287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Ответственность, предусмотренной законодательством Республики Узбекистан, несут:</w:t>
            </w:r>
          </w:p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E935A7" w:rsidRPr="00F026F8" w:rsidTr="00E935A7">
        <w:tc>
          <w:tcPr>
            <w:tcW w:w="533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60" w:type="dxa"/>
            <w:gridSpan w:val="3"/>
            <w:hideMark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Прочие условия</w:t>
            </w: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Изменение товара (работы, услуги) не допускается. При этом срок окончания подачи предложений в этом конкурсе должен быть продлен не менее чем на десять дней,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участник представляет 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конкурсную</w:t>
            </w: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замененный конверт возвращается участнику в невскрытом виде.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может быть объявлен конкурсной комиссией не состоявшейся: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в конкурсе принял участие один участник или никто не принял участие;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документации;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 представленные предложения не содержат необходимый пакет документов.</w:t>
            </w: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официальном вэб-сайте.</w:t>
            </w:r>
          </w:p>
        </w:tc>
      </w:tr>
      <w:tr w:rsidR="00E935A7" w:rsidRPr="00F026F8" w:rsidTr="00E935A7">
        <w:tc>
          <w:tcPr>
            <w:tcW w:w="533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60" w:type="dxa"/>
            <w:gridSpan w:val="3"/>
            <w:hideMark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Заключение договора</w:t>
            </w: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Договор с участником-победителем заключается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Шахрисабзским</w:t>
            </w:r>
            <w:r w:rsidRPr="00F026F8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филиалом АО “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Pr="00F026F8">
              <w:rPr>
                <w:sz w:val="24"/>
                <w:szCs w:val="24"/>
                <w:lang w:val="uz-Cyrl-UZ"/>
              </w:rPr>
              <w:t> 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Узбекистан”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  <w:t xml:space="preserve">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условиях, указанных в конкурсной документации и предложении, поданном участником конкурса предложении, поданном участником конкурса.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Участник, объявленный по решению конкурса победителем, получит от заказчика соответствующее письменное извещение.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</w:tcPr>
          <w:p w:rsidR="00E935A7" w:rsidRPr="00F026F8" w:rsidRDefault="00E935A7" w:rsidP="0066287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161AB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</w:t>
            </w:r>
          </w:p>
        </w:tc>
      </w:tr>
      <w:tr w:rsidR="00E935A7" w:rsidRPr="00F026F8" w:rsidTr="00E935A7">
        <w:tc>
          <w:tcPr>
            <w:tcW w:w="533" w:type="dxa"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3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E935A7" w:rsidRPr="00F026F8" w:rsidRDefault="00E935A7" w:rsidP="0066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284" w:type="dxa"/>
            <w:gridSpan w:val="2"/>
          </w:tcPr>
          <w:p w:rsidR="00E935A7" w:rsidRPr="00F026F8" w:rsidRDefault="00E935A7" w:rsidP="006628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hideMark/>
          </w:tcPr>
          <w:p w:rsidR="00E935A7" w:rsidRPr="00F026F8" w:rsidRDefault="00E935A7" w:rsidP="0066287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:rsidR="006C5D0B" w:rsidRPr="00E935A7" w:rsidRDefault="006C5D0B" w:rsidP="006C5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br w:type="page"/>
      </w:r>
      <w:r w:rsidRPr="00E935A7">
        <w:rPr>
          <w:rFonts w:ascii="Times New Roman" w:hAnsi="Times New Roman" w:cs="Times New Roman"/>
          <w:b/>
          <w:sz w:val="24"/>
          <w:szCs w:val="24"/>
        </w:rPr>
        <w:lastRenderedPageBreak/>
        <w:t>Форма запроса на разъяснение положений конкурсной документации</w:t>
      </w:r>
    </w:p>
    <w:p w:rsidR="006C5D0B" w:rsidRPr="00E935A7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E935A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E935A7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E935A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C5D0B" w:rsidRPr="00E935A7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C5D0B" w:rsidRPr="00E935A7" w:rsidRDefault="00B254A4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935A7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6C5D0B" w:rsidRPr="00E935A7" w:rsidRDefault="006C5D0B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935A7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5A7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E935A7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E935A7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E935A7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E935A7">
        <w:rPr>
          <w:rFonts w:ascii="Times New Roman" w:hAnsi="Times New Roman" w:cs="Times New Roman"/>
          <w:sz w:val="24"/>
          <w:szCs w:val="24"/>
        </w:rPr>
        <w:t>]:</w:t>
      </w: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E935A7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6C5D0B" w:rsidRPr="00E935A7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D0B" w:rsidRPr="00E935A7" w:rsidTr="00CE7068">
        <w:trPr>
          <w:jc w:val="center"/>
        </w:trPr>
        <w:tc>
          <w:tcPr>
            <w:tcW w:w="959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E935A7" w:rsidTr="00CE7068">
        <w:trPr>
          <w:jc w:val="center"/>
        </w:trPr>
        <w:tc>
          <w:tcPr>
            <w:tcW w:w="959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E935A7" w:rsidTr="00CE7068">
        <w:trPr>
          <w:jc w:val="center"/>
        </w:trPr>
        <w:tc>
          <w:tcPr>
            <w:tcW w:w="959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E935A7" w:rsidTr="00CE7068">
        <w:trPr>
          <w:jc w:val="center"/>
        </w:trPr>
        <w:tc>
          <w:tcPr>
            <w:tcW w:w="959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E935A7" w:rsidTr="00CE7068">
        <w:trPr>
          <w:jc w:val="center"/>
        </w:trPr>
        <w:tc>
          <w:tcPr>
            <w:tcW w:w="959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935A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5A7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E935A7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E935A7">
        <w:rPr>
          <w:rFonts w:ascii="Times New Roman" w:hAnsi="Times New Roman" w:cs="Times New Roman"/>
          <w:sz w:val="24"/>
          <w:szCs w:val="24"/>
        </w:rPr>
        <w:t>]</w:t>
      </w: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5A7">
        <w:rPr>
          <w:rFonts w:ascii="Times New Roman" w:hAnsi="Times New Roman" w:cs="Times New Roman"/>
          <w:b/>
          <w:sz w:val="24"/>
          <w:szCs w:val="24"/>
        </w:rPr>
        <w:t>[</w:t>
      </w:r>
      <w:r w:rsidRPr="00E935A7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935A7" w:rsidRDefault="006C5D0B" w:rsidP="006C5D0B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E935A7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E935A7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935A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5A7">
        <w:rPr>
          <w:rFonts w:ascii="Times New Roman" w:hAnsi="Times New Roman" w:cs="Times New Roman"/>
          <w:sz w:val="24"/>
          <w:szCs w:val="24"/>
        </w:rPr>
        <w:t>М.П.</w:t>
      </w:r>
    </w:p>
    <w:p w:rsidR="006C5D0B" w:rsidRPr="00E935A7" w:rsidRDefault="006C5D0B" w:rsidP="006C5D0B">
      <w:pPr>
        <w:rPr>
          <w:rFonts w:ascii="Times New Roman" w:hAnsi="Times New Roman" w:cs="Times New Roman"/>
          <w:sz w:val="24"/>
          <w:szCs w:val="24"/>
        </w:rPr>
      </w:pPr>
    </w:p>
    <w:p w:rsidR="00327540" w:rsidRPr="00E935A7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5A7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D73534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D73534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D73534">
        <w:rPr>
          <w:b/>
          <w:i w:val="0"/>
          <w:sz w:val="24"/>
          <w:szCs w:val="24"/>
        </w:rPr>
        <w:t xml:space="preserve">ПЕРЕЧЕНЬ </w:t>
      </w:r>
    </w:p>
    <w:p w:rsidR="00327540" w:rsidRPr="00D73534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 w:rsidRPr="00D73534">
        <w:rPr>
          <w:rFonts w:ascii="Times New Roman" w:hAnsi="Times New Roman" w:cs="Times New Roman"/>
          <w:sz w:val="24"/>
          <w:szCs w:val="24"/>
        </w:rPr>
        <w:t>закупоч</w:t>
      </w:r>
      <w:r w:rsidRPr="00D73534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 w:rsidRPr="00D73534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D73534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Копия документа о свидетельстве Государственной регистрации организации, заверенная печатью участника конкурса. </w:t>
      </w:r>
    </w:p>
    <w:p w:rsidR="001F478C" w:rsidRPr="00D73534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D04770" w:rsidRPr="00D73534">
        <w:rPr>
          <w:rFonts w:ascii="Times New Roman" w:hAnsi="Times New Roman" w:cs="Times New Roman"/>
          <w:sz w:val="24"/>
          <w:szCs w:val="24"/>
        </w:rPr>
        <w:t xml:space="preserve"> отсутствуют задолженности по уплате налогов  и других обязательных платежей</w:t>
      </w:r>
      <w:r w:rsidRPr="00D73534">
        <w:rPr>
          <w:rFonts w:ascii="Times New Roman" w:hAnsi="Times New Roman" w:cs="Times New Roman"/>
          <w:sz w:val="24"/>
          <w:szCs w:val="24"/>
        </w:rPr>
        <w:t xml:space="preserve"> а также об отсутствии ненадлежащее исполненных обязательств по ранее заключенным договорам </w:t>
      </w:r>
      <w:r w:rsidRPr="00D73534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D73534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D7353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D73534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D73534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 w:rsidRPr="00D73534">
        <w:rPr>
          <w:rFonts w:ascii="Times New Roman" w:hAnsi="Times New Roman" w:cs="Times New Roman"/>
          <w:i/>
          <w:sz w:val="24"/>
          <w:szCs w:val="24"/>
        </w:rPr>
        <w:t>4</w:t>
      </w:r>
      <w:r w:rsidRPr="00D73534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D73534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D73534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D73534">
        <w:rPr>
          <w:rFonts w:ascii="Times New Roman" w:hAnsi="Times New Roman" w:cs="Times New Roman"/>
          <w:sz w:val="24"/>
          <w:szCs w:val="24"/>
        </w:rPr>
        <w:t>закупоч</w:t>
      </w:r>
      <w:r w:rsidRPr="00D73534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D73534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5A2984" w:rsidRPr="00D7353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предложения, а также других вопросов.</w:t>
      </w:r>
    </w:p>
    <w:p w:rsidR="00512C0A" w:rsidRPr="00D73534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D73534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D73534">
        <w:lastRenderedPageBreak/>
        <w:t xml:space="preserve">Форма </w:t>
      </w:r>
      <w:r w:rsidRPr="00D73534">
        <w:rPr>
          <w:sz w:val="24"/>
          <w:szCs w:val="24"/>
        </w:rPr>
        <w:t>№1</w:t>
      </w:r>
    </w:p>
    <w:p w:rsidR="00327540" w:rsidRPr="00D73534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D73534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D73534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D73534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D73534">
        <w:rPr>
          <w:sz w:val="24"/>
          <w:szCs w:val="24"/>
        </w:rPr>
        <w:t xml:space="preserve">ЗАЯВКА </w:t>
      </w:r>
    </w:p>
    <w:p w:rsidR="00327540" w:rsidRPr="00D73534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D73534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 w:rsidRPr="00D73534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  <w:r w:rsidRPr="00D73534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D73534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D73534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D73534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D7353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D73534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D73534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D73534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D73534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D73534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D7353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D7353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D7353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D7353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D73534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D7353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D73534" w:rsidRDefault="00327540" w:rsidP="007A4190">
      <w:pPr>
        <w:pStyle w:val="2"/>
        <w:spacing w:line="240" w:lineRule="auto"/>
        <w:ind w:left="10" w:right="54"/>
      </w:pPr>
      <w:r w:rsidRPr="00D73534">
        <w:lastRenderedPageBreak/>
        <w:t xml:space="preserve"> </w:t>
      </w:r>
      <w:r w:rsidRPr="00D73534">
        <w:tab/>
      </w:r>
      <w:r w:rsidRPr="00D73534">
        <w:tab/>
      </w:r>
      <w:r w:rsidRPr="00D73534">
        <w:tab/>
      </w:r>
      <w:r w:rsidRPr="00D73534">
        <w:tab/>
      </w:r>
      <w:r w:rsidRPr="00D73534">
        <w:tab/>
      </w:r>
      <w:r w:rsidRPr="00D73534">
        <w:tab/>
      </w:r>
      <w:r w:rsidRPr="00D73534">
        <w:tab/>
      </w:r>
      <w:r w:rsidRPr="00D73534">
        <w:tab/>
      </w:r>
      <w:r w:rsidRPr="00D73534">
        <w:tab/>
      </w:r>
      <w:r w:rsidRPr="00D73534">
        <w:tab/>
      </w:r>
      <w:r w:rsidRPr="00D73534">
        <w:tab/>
        <w:t>Форма №2</w:t>
      </w:r>
    </w:p>
    <w:p w:rsidR="00327540" w:rsidRPr="00D73534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D73534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D73534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D73534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D73534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D735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E935A7" w:rsidRPr="00D161AB" w:rsidRDefault="00E935A7" w:rsidP="00E9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E935A7" w:rsidRPr="00D161AB" w:rsidRDefault="00E935A7" w:rsidP="00E9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D161AB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</w:p>
    <w:p w:rsidR="00E935A7" w:rsidRPr="00D161AB" w:rsidRDefault="00E935A7" w:rsidP="00E9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E935A7" w:rsidRPr="00D161AB" w:rsidRDefault="00E935A7" w:rsidP="00E935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</w:t>
      </w:r>
      <w:r w:rsidRPr="00D161AB">
        <w:rPr>
          <w:rFonts w:ascii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E935A7" w:rsidRPr="00D161AB" w:rsidRDefault="00E935A7" w:rsidP="00E935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1AB">
        <w:rPr>
          <w:rFonts w:ascii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E935A7" w:rsidRPr="00D161AB" w:rsidRDefault="00E935A7" w:rsidP="00E9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540" w:rsidRPr="00D73534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D7353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D7353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D7353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D73534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D73534" w:rsidRDefault="00327540" w:rsidP="00661046">
      <w:pPr>
        <w:pStyle w:val="2"/>
        <w:spacing w:line="240" w:lineRule="auto"/>
        <w:ind w:left="10" w:right="54"/>
      </w:pPr>
      <w:r w:rsidRPr="00D73534">
        <w:lastRenderedPageBreak/>
        <w:t>Форма №3</w:t>
      </w:r>
    </w:p>
    <w:p w:rsidR="00327540" w:rsidRPr="00D73534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D73534">
        <w:rPr>
          <w:sz w:val="24"/>
          <w:szCs w:val="24"/>
        </w:rPr>
        <w:t xml:space="preserve">Общая информация об участнике конкурса </w:t>
      </w:r>
    </w:p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D73534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D73534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D73534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D73534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D73534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D73534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B13" w:rsidRPr="00D73534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3" w:rsidRPr="00D73534" w:rsidRDefault="00D66B13" w:rsidP="002509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3" w:rsidRPr="00D73534" w:rsidRDefault="00D66B13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13" w:rsidRPr="00D73534" w:rsidRDefault="00D66B1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540" w:rsidRPr="00D73534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D73534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D73534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D73534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D735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D735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D735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D73534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D73534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D7353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Д</w:t>
      </w:r>
      <w:r w:rsidR="00E54D3C" w:rsidRPr="00D73534">
        <w:rPr>
          <w:rFonts w:ascii="Times New Roman" w:hAnsi="Times New Roman" w:cs="Times New Roman"/>
          <w:sz w:val="24"/>
          <w:szCs w:val="24"/>
        </w:rPr>
        <w:t>ата: «___» _________________202</w:t>
      </w:r>
      <w:r w:rsidR="00D66B13" w:rsidRPr="00D73534">
        <w:rPr>
          <w:rFonts w:ascii="Times New Roman" w:hAnsi="Times New Roman" w:cs="Times New Roman"/>
          <w:sz w:val="24"/>
          <w:szCs w:val="24"/>
        </w:rPr>
        <w:t>1</w:t>
      </w:r>
      <w:r w:rsidRPr="00D7353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D73534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D73534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D73534">
        <w:rPr>
          <w:i w:val="0"/>
        </w:rPr>
        <w:lastRenderedPageBreak/>
        <w:t xml:space="preserve">Форма </w:t>
      </w:r>
      <w:r w:rsidRPr="00D73534">
        <w:rPr>
          <w:sz w:val="24"/>
          <w:szCs w:val="24"/>
        </w:rPr>
        <w:t>№4</w:t>
      </w:r>
      <w:r w:rsidRPr="00D73534">
        <w:rPr>
          <w:i w:val="0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D73534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D73534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D73534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D7353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D7353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D73534">
        <w:rPr>
          <w:rFonts w:ascii="Times New Roman" w:hAnsi="Times New Roman" w:cs="Times New Roman"/>
          <w:sz w:val="24"/>
          <w:szCs w:val="24"/>
        </w:rPr>
        <w:t>закупочной</w:t>
      </w:r>
      <w:r w:rsidRPr="00D73534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D73534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D7353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D7353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D7353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D73534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D7353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D7353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D7353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D73534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D73534">
        <w:rPr>
          <w:i w:val="0"/>
        </w:rPr>
        <w:lastRenderedPageBreak/>
        <w:t xml:space="preserve">Форма </w:t>
      </w:r>
      <w:r w:rsidRPr="00D73534">
        <w:rPr>
          <w:sz w:val="24"/>
          <w:szCs w:val="24"/>
        </w:rPr>
        <w:t>№5</w:t>
      </w:r>
      <w:r w:rsidRPr="00D73534">
        <w:rPr>
          <w:i w:val="0"/>
          <w:sz w:val="24"/>
          <w:szCs w:val="24"/>
        </w:rPr>
        <w:t xml:space="preserve"> </w:t>
      </w:r>
    </w:p>
    <w:p w:rsidR="000065FB" w:rsidRPr="00D73534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D73534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D73534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D73534">
        <w:rPr>
          <w:sz w:val="24"/>
          <w:szCs w:val="24"/>
        </w:rPr>
        <w:t xml:space="preserve">ЦЕНОВОЕ ПРЕДЛОЖЕНИЕ </w:t>
      </w:r>
    </w:p>
    <w:p w:rsidR="00327540" w:rsidRPr="00D7353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на </w:t>
      </w:r>
      <w:r w:rsidRPr="00D73534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 w:rsidRPr="00D7353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D73534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D73534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Дата: (</w:t>
      </w:r>
      <w:r w:rsidRPr="00D73534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D7353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D73534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 w:rsidRPr="00D73534">
        <w:rPr>
          <w:rFonts w:ascii="Times New Roman" w:hAnsi="Times New Roman" w:cs="Times New Roman"/>
          <w:sz w:val="24"/>
          <w:szCs w:val="24"/>
        </w:rPr>
        <w:t>Закупоч</w:t>
      </w:r>
      <w:r w:rsidRPr="00D73534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D73534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D73534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D73534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D73534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D73534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D73534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условия выполнения работ</w:t>
      </w:r>
      <w:r w:rsidR="004D62FF" w:rsidRPr="00D73534"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D73534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D73534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D73534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D73534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D7353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D7353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 w:rsidRPr="00D7353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D73534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 </w:t>
      </w:r>
    </w:p>
    <w:p w:rsidR="00327540" w:rsidRPr="00D73534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Дата: «___» __________202</w:t>
      </w:r>
      <w:r w:rsidR="00D66B13" w:rsidRPr="00D73534">
        <w:rPr>
          <w:rFonts w:ascii="Times New Roman" w:hAnsi="Times New Roman" w:cs="Times New Roman"/>
          <w:sz w:val="24"/>
          <w:szCs w:val="24"/>
        </w:rPr>
        <w:t>1</w:t>
      </w:r>
      <w:r w:rsidR="00327540" w:rsidRPr="00D73534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D73534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D7353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D7353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D73534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D73534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D73534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D73534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D73534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 w:rsidRPr="00D73534">
        <w:rPr>
          <w:rFonts w:ascii="Times New Roman" w:hAnsi="Times New Roman" w:cs="Times New Roman"/>
          <w:sz w:val="24"/>
          <w:szCs w:val="24"/>
        </w:rPr>
        <w:t>закупоч</w:t>
      </w:r>
      <w:r w:rsidRPr="00D73534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 w:rsidRPr="00D7353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D73534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D73534" w:rsidRDefault="00327540" w:rsidP="00661046">
      <w:pPr>
        <w:pStyle w:val="4"/>
        <w:spacing w:line="240" w:lineRule="auto"/>
        <w:ind w:left="535"/>
        <w:rPr>
          <w:szCs w:val="24"/>
        </w:rPr>
      </w:pPr>
      <w:r w:rsidRPr="00D73534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D73534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D73534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D73534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 w:rsidRPr="00D73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D73534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D73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D7353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D73534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D73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D7353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D73534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D73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D73534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D7353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D73534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D73534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D73534" w:rsidRDefault="0068202D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Отсутствуют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D73534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957009" w:rsidRPr="00D73534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D73534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D73534" w:rsidRPr="00D73534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34" w:rsidRPr="00D73534" w:rsidRDefault="00E935A7" w:rsidP="00D73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34" w:rsidRPr="00D73534" w:rsidRDefault="00D73534" w:rsidP="00D73534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участнике конкурса (форма</w:t>
            </w:r>
            <w:r w:rsidRPr="00D735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№3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73534" w:rsidRPr="00D73534" w:rsidRDefault="00D73534" w:rsidP="00D7353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34" w:rsidRPr="00D73534" w:rsidRDefault="00D73534" w:rsidP="00D73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D73534" w:rsidRPr="00D73534" w:rsidRDefault="00D73534" w:rsidP="00D73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34" w:rsidRPr="00D73534" w:rsidRDefault="00D73534" w:rsidP="00D73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327540" w:rsidRPr="00D7353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D73534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359F" w:rsidRPr="00D73534" w:rsidRDefault="000E359F" w:rsidP="000E359F">
      <w:pPr>
        <w:spacing w:line="240" w:lineRule="auto"/>
        <w:ind w:firstLine="525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предложений. </w:t>
      </w:r>
    </w:p>
    <w:p w:rsidR="000E359F" w:rsidRPr="00D73534" w:rsidRDefault="000E359F" w:rsidP="000E359F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Осуществляется конкурсной комиссией на основании документов внутреннего конверта и технической частью. Предложения участников, не прошедшие, по технической оценке дисквалифицируются. При этом конверт с ценовой частью возвращается участнику без вскрытия.</w:t>
      </w:r>
    </w:p>
    <w:p w:rsidR="000E359F" w:rsidRPr="00D73534" w:rsidRDefault="000E359F" w:rsidP="000E359F">
      <w:pPr>
        <w:pStyle w:val="4"/>
        <w:spacing w:line="240" w:lineRule="auto"/>
        <w:ind w:left="535"/>
        <w:rPr>
          <w:szCs w:val="24"/>
        </w:rPr>
      </w:pPr>
    </w:p>
    <w:p w:rsidR="000E359F" w:rsidRPr="00D73534" w:rsidRDefault="000E359F" w:rsidP="000E359F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73534">
        <w:rPr>
          <w:rFonts w:ascii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Pr="00D735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73534">
        <w:rPr>
          <w:rFonts w:ascii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Pr="00D735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73534">
        <w:rPr>
          <w:rFonts w:ascii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0E359F" w:rsidRPr="00D73534" w:rsidRDefault="000E359F" w:rsidP="000E359F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8"/>
        <w:gridCol w:w="3057"/>
        <w:gridCol w:w="3059"/>
      </w:tblGrid>
      <w:tr w:rsidR="000E359F" w:rsidRPr="00D73534" w:rsidTr="000E359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F" w:rsidRPr="00D73534" w:rsidRDefault="000E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F" w:rsidRPr="00D73534" w:rsidRDefault="000E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3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F" w:rsidRPr="00D73534" w:rsidRDefault="000E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3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F" w:rsidRPr="00D73534" w:rsidRDefault="000E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3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0E359F" w:rsidRPr="00D73534" w:rsidTr="000E359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F" w:rsidRPr="00D73534" w:rsidRDefault="000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F" w:rsidRPr="00D73534" w:rsidRDefault="000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конкурсной документации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F" w:rsidRPr="00D73534" w:rsidRDefault="000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0E359F" w:rsidRPr="00D73534" w:rsidRDefault="000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F" w:rsidRPr="00D73534" w:rsidRDefault="000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конкурса дисквалифицируются</w:t>
            </w:r>
          </w:p>
        </w:tc>
      </w:tr>
    </w:tbl>
    <w:p w:rsidR="000E359F" w:rsidRPr="00D73534" w:rsidRDefault="000E359F" w:rsidP="000E3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59F" w:rsidRPr="00D73534" w:rsidRDefault="000E359F" w:rsidP="000E35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Закупочная комиссия имеет право не рассматривать и/или принять решение о несоответствии технической части конкурсного предложения участника в случае, если вместо технических характеристик, описания параметров предлагаемых услуг изложены общие фразы, как: «соответствует», «спроектировано согласно данным требованиям», «совпадает с требованиями» или подобными фразами, не означающие конкретные данные услуги.</w:t>
      </w:r>
    </w:p>
    <w:p w:rsidR="000E359F" w:rsidRPr="00D73534" w:rsidRDefault="000E359F" w:rsidP="000E35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5A7" w:rsidRPr="00CE6593" w:rsidRDefault="00E935A7" w:rsidP="00E935A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935A7" w:rsidRPr="00D161AB" w:rsidRDefault="00E935A7" w:rsidP="00E935A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161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161AB">
        <w:rPr>
          <w:rFonts w:ascii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E935A7" w:rsidRPr="00D161AB" w:rsidRDefault="00E935A7" w:rsidP="00E935A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935A7" w:rsidRPr="00D161AB" w:rsidRDefault="00E935A7" w:rsidP="00E935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Осуществляется закупочной комиссией после проведения технической оценки на основании документов внутреннего конверта с ценовой частью.</w:t>
      </w:r>
    </w:p>
    <w:p w:rsidR="00E935A7" w:rsidRPr="00D161AB" w:rsidRDefault="00E935A7" w:rsidP="00E935A7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E935A7" w:rsidRPr="00D161AB" w:rsidRDefault="00E935A7" w:rsidP="00E935A7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161AB">
        <w:rPr>
          <w:rFonts w:ascii="Times New Roman" w:hAnsi="Times New Roman" w:cs="Times New Roman"/>
          <w:b/>
          <w:i/>
          <w:sz w:val="24"/>
          <w:szCs w:val="24"/>
        </w:rPr>
        <w:t>Критерии ценовой оценки</w:t>
      </w:r>
    </w:p>
    <w:p w:rsidR="00E935A7" w:rsidRPr="00D161AB" w:rsidRDefault="00E935A7" w:rsidP="00E935A7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E935A7" w:rsidRPr="00D161AB" w:rsidTr="00662877">
        <w:tc>
          <w:tcPr>
            <w:tcW w:w="461" w:type="dxa"/>
          </w:tcPr>
          <w:p w:rsidR="00E935A7" w:rsidRPr="00D161AB" w:rsidRDefault="00E935A7" w:rsidP="00662877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E935A7" w:rsidRPr="00D161AB" w:rsidRDefault="00E935A7" w:rsidP="00662877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E935A7" w:rsidRPr="00D161AB" w:rsidRDefault="00E935A7" w:rsidP="00662877">
            <w:pPr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E935A7" w:rsidRPr="00D161AB" w:rsidRDefault="00E935A7" w:rsidP="00662877">
            <w:pPr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935A7" w:rsidRPr="00D161AB" w:rsidTr="00662877">
        <w:tc>
          <w:tcPr>
            <w:tcW w:w="461" w:type="dxa"/>
            <w:vAlign w:val="center"/>
          </w:tcPr>
          <w:p w:rsidR="00E935A7" w:rsidRPr="00D161AB" w:rsidRDefault="00E935A7" w:rsidP="006628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E935A7" w:rsidRPr="00A3119C" w:rsidRDefault="00E935A7" w:rsidP="00662877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2824" w:type="dxa"/>
          </w:tcPr>
          <w:p w:rsidR="00E935A7" w:rsidRPr="00D161AB" w:rsidRDefault="00E935A7" w:rsidP="00662877">
            <w:pPr>
              <w:pStyle w:val="21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</w:tcPr>
          <w:p w:rsidR="00E935A7" w:rsidRPr="00227EB0" w:rsidRDefault="00E935A7" w:rsidP="006628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A7" w:rsidRDefault="00E935A7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5A7" w:rsidRDefault="00E9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261B" w:rsidRDefault="00E6261B" w:rsidP="00E935A7">
      <w:pPr>
        <w:pStyle w:val="a3"/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935A7" w:rsidRPr="00D73534" w:rsidRDefault="00E935A7" w:rsidP="00E935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F74DE" w:rsidRPr="00D73534" w:rsidRDefault="00CF74DE" w:rsidP="00E935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448"/>
        <w:gridCol w:w="7173"/>
      </w:tblGrid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АО «Национальный банк ВЭД РУ»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список капитальному ремонту на 2021 год 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Шахрисабзском</w:t>
            </w:r>
            <w:proofErr w:type="spellEnd"/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«НБ ВЭД РУ»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Банка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D73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Master Group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Требование к участнику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    Для участия в конкурсе данного проекта необходимо: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     Наличие инженерно-технических работников более 2 человек (инженер, дипломированный специалист ПТО) и необходимых квалифицированных рабочих (каменщик, штукатурщик, маляр) на постоянной основе не менее 4 человек;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   -находящиеся в Едино</w:t>
            </w:r>
            <w:r w:rsidR="00E935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</w:t>
            </w:r>
            <w:r w:rsidR="00E935A7" w:rsidRPr="00D73534">
              <w:rPr>
                <w:rFonts w:ascii="Times New Roman" w:hAnsi="Times New Roman" w:cs="Times New Roman"/>
                <w:sz w:val="24"/>
                <w:szCs w:val="24"/>
              </w:rPr>
              <w:t>аванса на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счет подрядчика, окончание через 30 дней.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Основные объёмы работ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D73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, кровля из профнастила по деревянной обрешётке, утеплитель </w:t>
            </w:r>
            <w:proofErr w:type="spellStart"/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минвата</w:t>
            </w:r>
            <w:proofErr w:type="spellEnd"/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, легкие конструкции из металла, блоки витража из коленного стела со дверью, полы из керамической плитки, потолок пластиковые, отмостка бетонная толщ. 30 мм, по гравийному основанию 80 мм, 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Руководитель работ, участвующий в ремонте: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-своевременно оформляет акты скрытых работ;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-сдача заказчику законченных ремонтных работ </w:t>
            </w:r>
            <w:r w:rsidR="00E935A7" w:rsidRPr="00D73534">
              <w:rPr>
                <w:rFonts w:ascii="Times New Roman" w:hAnsi="Times New Roman" w:cs="Times New Roman"/>
                <w:sz w:val="24"/>
                <w:szCs w:val="24"/>
              </w:rPr>
              <w:t>согласно строительным нормам</w:t>
            </w: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и правил, оформлением акта приёмки установленной формы.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9610D4" w:rsidRPr="00D73534" w:rsidTr="00E935A7">
        <w:tc>
          <w:tcPr>
            <w:tcW w:w="869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8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7173" w:type="dxa"/>
            <w:vAlign w:val="center"/>
          </w:tcPr>
          <w:p w:rsidR="009610D4" w:rsidRPr="00D73534" w:rsidRDefault="009610D4" w:rsidP="00E9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</w:tbl>
    <w:p w:rsidR="00E935A7" w:rsidRDefault="00E9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5A7" w:rsidRDefault="00E9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D73534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D73534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D7353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D73534" w:rsidTr="00DB2C4D">
        <w:trPr>
          <w:trHeight w:val="283"/>
        </w:trPr>
        <w:tc>
          <w:tcPr>
            <w:tcW w:w="566" w:type="dxa"/>
            <w:vAlign w:val="center"/>
          </w:tcPr>
          <w:p w:rsidR="00327540" w:rsidRPr="00D7353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D7353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D73534" w:rsidRDefault="009610D4" w:rsidP="00157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  <w:r w:rsidR="00054470"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73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706</w:t>
            </w:r>
            <w:r w:rsidR="00054470"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="00054470"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00F24"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 w:rsidRPr="00D7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НДС</w:t>
            </w:r>
          </w:p>
        </w:tc>
      </w:tr>
      <w:tr w:rsidR="00327540" w:rsidRPr="00D73534" w:rsidTr="00DB2C4D">
        <w:trPr>
          <w:trHeight w:val="224"/>
        </w:trPr>
        <w:tc>
          <w:tcPr>
            <w:tcW w:w="566" w:type="dxa"/>
            <w:vAlign w:val="center"/>
          </w:tcPr>
          <w:p w:rsidR="00327540" w:rsidRPr="00D7353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D7353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D73534" w:rsidTr="00DB2C4D">
        <w:trPr>
          <w:trHeight w:val="835"/>
        </w:trPr>
        <w:tc>
          <w:tcPr>
            <w:tcW w:w="566" w:type="dxa"/>
            <w:vAlign w:val="center"/>
          </w:tcPr>
          <w:p w:rsidR="00327540" w:rsidRPr="00D7353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D7353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327540" w:rsidRPr="00D73534" w:rsidRDefault="00E6261B" w:rsidP="00CF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Оплата за работы производиться после заключения Заказа с 30% авансированием, 70 % текущее финансирование за выполненные работы (или 100 % оплата после окончания работ) от суммы Заказа.</w:t>
            </w:r>
          </w:p>
        </w:tc>
      </w:tr>
      <w:tr w:rsidR="00327540" w:rsidRPr="00D73534" w:rsidTr="00DB2C4D">
        <w:trPr>
          <w:trHeight w:val="594"/>
        </w:trPr>
        <w:tc>
          <w:tcPr>
            <w:tcW w:w="566" w:type="dxa"/>
            <w:vAlign w:val="center"/>
          </w:tcPr>
          <w:p w:rsidR="00327540" w:rsidRPr="00D7353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D7353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327540" w:rsidRPr="00D73534" w:rsidTr="00DB2C4D">
        <w:trPr>
          <w:trHeight w:val="283"/>
        </w:trPr>
        <w:tc>
          <w:tcPr>
            <w:tcW w:w="566" w:type="dxa"/>
            <w:vAlign w:val="center"/>
          </w:tcPr>
          <w:p w:rsidR="00327540" w:rsidRPr="00D7353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D7353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D73534" w:rsidRDefault="007A4190" w:rsidP="000324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подрядчика, окончание через </w:t>
            </w:r>
            <w:r w:rsidR="00075AEC" w:rsidRPr="00D73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 w:rsidRPr="00D73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540"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34" w:rsidRPr="00D735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327540" w:rsidRPr="00D73534" w:rsidTr="00DB2C4D">
        <w:trPr>
          <w:trHeight w:val="498"/>
        </w:trPr>
        <w:tc>
          <w:tcPr>
            <w:tcW w:w="566" w:type="dxa"/>
            <w:vAlign w:val="center"/>
          </w:tcPr>
          <w:p w:rsidR="00327540" w:rsidRPr="00D73534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D7353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D7353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D7353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D73534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Pr="00D73534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D73534" w:rsidRDefault="00075AEC" w:rsidP="00075AEC">
      <w:pPr>
        <w:pStyle w:val="aff6"/>
        <w:rPr>
          <w:color w:val="000000"/>
          <w:szCs w:val="24"/>
          <w:lang w:eastAsia="ru-RU"/>
        </w:rPr>
      </w:pPr>
      <w:r w:rsidRPr="00D73534">
        <w:rPr>
          <w:color w:val="000000"/>
          <w:szCs w:val="24"/>
          <w:lang w:eastAsia="ru-RU"/>
        </w:rPr>
        <w:t>ДОГОВОР ПОДРЯДА №________</w:t>
      </w:r>
    </w:p>
    <w:p w:rsidR="00075AEC" w:rsidRPr="00D73534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D73534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D73534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D73534">
        <w:rPr>
          <w:rFonts w:ascii="Times New Roman" w:hAnsi="Times New Roman" w:cs="Times New Roman"/>
          <w:sz w:val="24"/>
          <w:szCs w:val="24"/>
        </w:rPr>
        <w:tab/>
      </w:r>
      <w:r w:rsidRPr="00D73534">
        <w:rPr>
          <w:rFonts w:ascii="Times New Roman" w:hAnsi="Times New Roman" w:cs="Times New Roman"/>
          <w:sz w:val="24"/>
          <w:szCs w:val="24"/>
        </w:rPr>
        <w:tab/>
      </w:r>
      <w:r w:rsidRPr="00D73534">
        <w:rPr>
          <w:rFonts w:ascii="Times New Roman" w:hAnsi="Times New Roman" w:cs="Times New Roman"/>
          <w:sz w:val="24"/>
          <w:szCs w:val="24"/>
        </w:rPr>
        <w:tab/>
      </w:r>
      <w:r w:rsidRPr="00D73534">
        <w:rPr>
          <w:rFonts w:ascii="Times New Roman" w:hAnsi="Times New Roman" w:cs="Times New Roman"/>
          <w:sz w:val="24"/>
          <w:szCs w:val="24"/>
        </w:rPr>
        <w:tab/>
      </w:r>
      <w:r w:rsidRPr="00D73534">
        <w:rPr>
          <w:rFonts w:ascii="Times New Roman" w:hAnsi="Times New Roman" w:cs="Times New Roman"/>
          <w:sz w:val="24"/>
          <w:szCs w:val="24"/>
        </w:rPr>
        <w:tab/>
      </w:r>
      <w:r w:rsidRPr="00D73534">
        <w:rPr>
          <w:rFonts w:ascii="Times New Roman" w:hAnsi="Times New Roman" w:cs="Times New Roman"/>
          <w:sz w:val="24"/>
          <w:szCs w:val="24"/>
        </w:rPr>
        <w:tab/>
      </w:r>
      <w:r w:rsidRPr="00D73534">
        <w:rPr>
          <w:rFonts w:ascii="Times New Roman" w:hAnsi="Times New Roman" w:cs="Times New Roman"/>
          <w:sz w:val="24"/>
          <w:szCs w:val="24"/>
        </w:rPr>
        <w:tab/>
      </w:r>
      <w:r w:rsidRPr="00D73534">
        <w:rPr>
          <w:rFonts w:ascii="Times New Roman" w:hAnsi="Times New Roman" w:cs="Times New Roman"/>
          <w:sz w:val="24"/>
          <w:szCs w:val="24"/>
        </w:rPr>
        <w:tab/>
      </w:r>
      <w:r w:rsidRPr="00D73534">
        <w:rPr>
          <w:rFonts w:ascii="Times New Roman" w:hAnsi="Times New Roman" w:cs="Times New Roman"/>
          <w:sz w:val="24"/>
          <w:szCs w:val="24"/>
        </w:rPr>
        <w:tab/>
        <w:t>«___» _______ 202</w:t>
      </w:r>
      <w:r w:rsidR="00600F24" w:rsidRPr="00D73534">
        <w:rPr>
          <w:rFonts w:ascii="Times New Roman" w:hAnsi="Times New Roman" w:cs="Times New Roman"/>
          <w:sz w:val="24"/>
          <w:szCs w:val="24"/>
        </w:rPr>
        <w:t>1</w:t>
      </w:r>
      <w:r w:rsidRPr="00D73534">
        <w:rPr>
          <w:rFonts w:ascii="Times New Roman" w:hAnsi="Times New Roman" w:cs="Times New Roman"/>
          <w:sz w:val="24"/>
          <w:szCs w:val="24"/>
        </w:rPr>
        <w:t>г.</w:t>
      </w:r>
    </w:p>
    <w:p w:rsidR="00075AEC" w:rsidRPr="00D73534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D73534" w:rsidRDefault="009610D4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534">
        <w:rPr>
          <w:rFonts w:ascii="Times New Roman" w:hAnsi="Times New Roman" w:cs="Times New Roman"/>
          <w:b/>
          <w:color w:val="auto"/>
          <w:sz w:val="24"/>
          <w:szCs w:val="24"/>
        </w:rPr>
        <w:t>Шахрисабзский</w:t>
      </w:r>
      <w:proofErr w:type="spellEnd"/>
      <w:r w:rsidR="00E6261B" w:rsidRPr="00D735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D735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D73534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D73534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D735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D73534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D7353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D73534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 w:rsidRPr="00D735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D73534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_____________ от ___.___.202</w:t>
      </w:r>
      <w:r w:rsidR="00D06518" w:rsidRPr="00D73534">
        <w:rPr>
          <w:rFonts w:ascii="Times New Roman" w:hAnsi="Times New Roman" w:cs="Times New Roman"/>
          <w:sz w:val="24"/>
          <w:szCs w:val="24"/>
        </w:rPr>
        <w:t>1</w:t>
      </w:r>
      <w:r w:rsidR="00075AEC" w:rsidRPr="00D73534">
        <w:rPr>
          <w:rFonts w:ascii="Times New Roman" w:hAnsi="Times New Roman" w:cs="Times New Roman"/>
          <w:sz w:val="24"/>
          <w:szCs w:val="24"/>
        </w:rPr>
        <w:t xml:space="preserve">г., с одной стороны и ___________________________________________ именуемое в дальнейшем </w:t>
      </w:r>
      <w:r w:rsidR="00075AEC" w:rsidRPr="00D7353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D73534">
        <w:rPr>
          <w:rFonts w:ascii="Times New Roman" w:hAnsi="Times New Roman" w:cs="Times New Roman"/>
          <w:sz w:val="24"/>
          <w:szCs w:val="24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</w:t>
      </w:r>
      <w:r w:rsidR="00D06518" w:rsidRPr="00D73534">
        <w:rPr>
          <w:rFonts w:ascii="Times New Roman" w:hAnsi="Times New Roman" w:cs="Times New Roman"/>
          <w:sz w:val="24"/>
          <w:szCs w:val="24"/>
        </w:rPr>
        <w:t>1</w:t>
      </w:r>
      <w:r w:rsidR="00075AEC" w:rsidRPr="00D73534">
        <w:rPr>
          <w:rFonts w:ascii="Times New Roman" w:hAnsi="Times New Roman" w:cs="Times New Roman"/>
          <w:sz w:val="24"/>
          <w:szCs w:val="24"/>
        </w:rPr>
        <w:t xml:space="preserve">г. по отбору подрядной организации на выполнение работ по объекту </w:t>
      </w:r>
      <w:r w:rsidR="00075AEC" w:rsidRPr="00D73534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D73534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Pr="00D73534">
        <w:rPr>
          <w:rFonts w:ascii="Times New Roman" w:hAnsi="Times New Roman" w:cs="Times New Roman"/>
          <w:b/>
          <w:color w:val="auto"/>
          <w:sz w:val="24"/>
          <w:szCs w:val="24"/>
        </w:rPr>
        <w:t>Шахрисабзском</w:t>
      </w:r>
      <w:proofErr w:type="spellEnd"/>
      <w:r w:rsidR="007A4190" w:rsidRPr="00D73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B0" w:rsidRPr="00D73534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D73534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Узбекистан»</w:t>
      </w:r>
      <w:r w:rsidR="005B68B0" w:rsidRPr="00D73534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D73534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D73534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D73534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Default="00075AEC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1.1. </w:t>
      </w:r>
      <w:r w:rsidR="00CE6593" w:rsidRPr="00F026F8">
        <w:rPr>
          <w:rFonts w:ascii="Times New Roman" w:hAnsi="Times New Roman" w:cs="Times New Roman"/>
          <w:b/>
          <w:sz w:val="24"/>
          <w:szCs w:val="24"/>
        </w:rPr>
        <w:t>Подрядчик»</w:t>
      </w:r>
      <w:r w:rsidR="00CE6593" w:rsidRPr="00F026F8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="00CE6593" w:rsidRPr="00F026F8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="00CE6593" w:rsidRPr="00F026F8">
        <w:rPr>
          <w:rFonts w:ascii="Times New Roman" w:hAnsi="Times New Roman" w:cs="Times New Roman"/>
          <w:sz w:val="24"/>
          <w:szCs w:val="24"/>
        </w:rPr>
        <w:t xml:space="preserve"> - работы по объекту:</w:t>
      </w:r>
      <w:r w:rsidR="00CE6593">
        <w:rPr>
          <w:rFonts w:ascii="Times New Roman" w:hAnsi="Times New Roman" w:cs="Times New Roman"/>
          <w:sz w:val="24"/>
          <w:szCs w:val="24"/>
        </w:rPr>
        <w:t xml:space="preserve"> </w:t>
      </w:r>
      <w:r w:rsidRPr="00D73534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D73534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9610D4" w:rsidRPr="00D73534">
        <w:rPr>
          <w:rFonts w:ascii="Times New Roman" w:hAnsi="Times New Roman" w:cs="Times New Roman"/>
          <w:b/>
          <w:color w:val="auto"/>
          <w:sz w:val="24"/>
          <w:szCs w:val="24"/>
        </w:rPr>
        <w:t>Шахрисабзском</w:t>
      </w:r>
      <w:proofErr w:type="spellEnd"/>
      <w:r w:rsidR="007A4190" w:rsidRPr="00D735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B68B0" w:rsidRPr="00D73534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D73534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Узбекистан»</w:t>
      </w:r>
      <w:r w:rsidR="005B68B0" w:rsidRPr="00D73534">
        <w:rPr>
          <w:rFonts w:ascii="Times New Roman" w:hAnsi="Times New Roman" w:cs="Times New Roman"/>
          <w:b/>
          <w:sz w:val="24"/>
          <w:szCs w:val="24"/>
        </w:rPr>
        <w:t>»</w:t>
      </w:r>
      <w:r w:rsidRPr="00D73534">
        <w:rPr>
          <w:rFonts w:ascii="Times New Roman" w:hAnsi="Times New Roman" w:cs="Times New Roman"/>
          <w:sz w:val="24"/>
          <w:szCs w:val="24"/>
        </w:rPr>
        <w:t xml:space="preserve">. </w:t>
      </w:r>
      <w:r w:rsidR="00CE6593" w:rsidRPr="007B5596">
        <w:rPr>
          <w:rFonts w:ascii="Times New Roman" w:hAnsi="Times New Roman" w:cs="Times New Roman"/>
          <w:sz w:val="24"/>
          <w:szCs w:val="24"/>
        </w:rPr>
        <w:t xml:space="preserve">(далее - Объект), в соответствии с проектной-сметной документацией, а </w:t>
      </w:r>
      <w:r w:rsidR="00CE6593"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CE6593"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CE6593" w:rsidRPr="00D73534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593" w:rsidRPr="00331C42" w:rsidRDefault="00CE6593" w:rsidP="00CE6593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68108478"/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E6593" w:rsidRPr="00331C42" w:rsidRDefault="00CE6593" w:rsidP="00CE6593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CE6593" w:rsidRPr="00075AEC" w:rsidRDefault="00CE6593" w:rsidP="00CE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CE6593" w:rsidRPr="00B72CA0" w:rsidRDefault="00CE6593" w:rsidP="00CE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Оставшиеся 70% от общей суммы по настоящему Договору Заказчик оплатит в течении 10 банковских дней по приемки объекта Заказчиком.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E6593" w:rsidRPr="00331C42" w:rsidRDefault="00CE6593" w:rsidP="00CE6593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CE6593" w:rsidRPr="00D44C27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</w:t>
      </w:r>
      <w:r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</w:t>
      </w: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E6593" w:rsidRPr="00331C42" w:rsidRDefault="00CE6593" w:rsidP="00CE6593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E6593" w:rsidRPr="00331C42" w:rsidRDefault="00CE6593" w:rsidP="00CE6593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CE6593" w:rsidRPr="00075AEC" w:rsidRDefault="00CE6593" w:rsidP="00CE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E6593" w:rsidRPr="00331C42" w:rsidRDefault="00CE6593" w:rsidP="00CE6593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CE6593" w:rsidRPr="00075AEC" w:rsidRDefault="00CE6593" w:rsidP="00CE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CE6593" w:rsidRPr="00331C42" w:rsidRDefault="00CE6593" w:rsidP="00CE65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CE6593" w:rsidRPr="00075AEC" w:rsidRDefault="00CE6593" w:rsidP="00CE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CE6593" w:rsidRPr="00075AEC" w:rsidRDefault="00CE6593" w:rsidP="00CE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593" w:rsidRPr="00331C42" w:rsidRDefault="00CE6593" w:rsidP="00CE65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E6593" w:rsidRPr="00331C42" w:rsidRDefault="00CE6593" w:rsidP="00CE6593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CE6593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29239D">
        <w:rPr>
          <w:rFonts w:ascii="Times New Roman" w:hAnsi="Times New Roman" w:cs="Times New Roman"/>
          <w:sz w:val="24"/>
          <w:szCs w:val="24"/>
        </w:rPr>
        <w:t>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CE6593" w:rsidRPr="00075AEC" w:rsidRDefault="00CE6593" w:rsidP="00CE6593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bookmarkEnd w:id="3"/>
    <w:p w:rsidR="00F327FA" w:rsidRPr="00D73534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D73534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D73534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D73534" w:rsidTr="00F327FA">
        <w:tc>
          <w:tcPr>
            <w:tcW w:w="4395" w:type="dxa"/>
            <w:shd w:val="clear" w:color="auto" w:fill="auto"/>
          </w:tcPr>
          <w:p w:rsidR="00F327FA" w:rsidRPr="00D73534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73534">
              <w:rPr>
                <w:b/>
                <w:sz w:val="24"/>
                <w:szCs w:val="24"/>
              </w:rPr>
              <w:t>ЗАКАЗЧИК: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DA0631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DA0631" w:rsidRPr="00D73534" w:rsidRDefault="00DA0631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Директор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   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Главный бухгалтер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   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D73534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73534">
              <w:rPr>
                <w:b/>
                <w:sz w:val="24"/>
                <w:szCs w:val="24"/>
              </w:rPr>
              <w:t>ПОДРЯДЧИК: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Директор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   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Главный бухгалтер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   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Pr="00D73534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Pr="00D73534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D73534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68014806"/>
      <w:r w:rsidRPr="00D7353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D73534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D73534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>от «_____» ___________ 202</w:t>
      </w:r>
      <w:r w:rsidR="00CF74DE" w:rsidRPr="00D73534">
        <w:rPr>
          <w:rFonts w:ascii="Times New Roman" w:hAnsi="Times New Roman" w:cs="Times New Roman"/>
          <w:sz w:val="24"/>
          <w:szCs w:val="24"/>
        </w:rPr>
        <w:t>1</w:t>
      </w:r>
      <w:r w:rsidRPr="00D73534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D73534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D73534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D73534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534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D73534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  <w:r w:rsidRPr="00D73534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D73534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D73534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9610D4" w:rsidRPr="00D73534">
        <w:rPr>
          <w:rFonts w:ascii="Times New Roman" w:hAnsi="Times New Roman" w:cs="Times New Roman"/>
          <w:color w:val="auto"/>
          <w:sz w:val="24"/>
          <w:szCs w:val="24"/>
        </w:rPr>
        <w:t>Шахрисабзском</w:t>
      </w:r>
      <w:proofErr w:type="spellEnd"/>
      <w:r w:rsidR="007A4190" w:rsidRPr="00D73534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D73534">
        <w:rPr>
          <w:rFonts w:ascii="Times New Roman" w:hAnsi="Times New Roman" w:cs="Times New Roman"/>
          <w:sz w:val="24"/>
          <w:szCs w:val="24"/>
        </w:rPr>
        <w:t>филиале АО «Национальный банк внешнеэкономической деятельности Республики Узбекистан»</w:t>
      </w:r>
      <w:r w:rsidR="00562E74" w:rsidRPr="00D73534">
        <w:rPr>
          <w:rStyle w:val="BodyTextChar"/>
          <w:rFonts w:cs="Times New Roman"/>
          <w:sz w:val="24"/>
          <w:szCs w:val="24"/>
        </w:rPr>
        <w:t>»</w:t>
      </w:r>
    </w:p>
    <w:p w:rsidR="00F327FA" w:rsidRPr="00D73534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D73534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353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7353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73534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D73534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D73534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D73534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D73534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и конструкции с учетом транспортных расходов </w:t>
            </w:r>
            <w:r w:rsidR="00CF74DE" w:rsidRPr="00D73534">
              <w:rPr>
                <w:rFonts w:ascii="Times New Roman" w:hAnsi="Times New Roman" w:cs="Times New Roman"/>
                <w:sz w:val="24"/>
                <w:szCs w:val="24"/>
              </w:rPr>
              <w:t>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D73534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 учетом транспортных расходов </w:t>
            </w:r>
            <w:r w:rsidR="00CF74DE" w:rsidRPr="00D73534">
              <w:rPr>
                <w:rFonts w:ascii="Times New Roman" w:hAnsi="Times New Roman" w:cs="Times New Roman"/>
                <w:sz w:val="24"/>
                <w:szCs w:val="24"/>
              </w:rPr>
              <w:t>______%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D73534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D73534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D73534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D73534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  <w:r w:rsidR="00CF74DE" w:rsidRPr="00D73534">
              <w:rPr>
                <w:rFonts w:ascii="Times New Roman" w:hAnsi="Times New Roman" w:cs="Times New Roman"/>
                <w:sz w:val="24"/>
                <w:szCs w:val="24"/>
              </w:rPr>
              <w:t>_____%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D73534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D73534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Ставка НДС 15%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D73534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4">
              <w:rPr>
                <w:rFonts w:ascii="Times New Roman" w:hAnsi="Times New Roman" w:cs="Times New Roman"/>
                <w:sz w:val="24"/>
                <w:szCs w:val="24"/>
              </w:rPr>
              <w:t>Итого стоимость с учетом НДС 15%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D73534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D73534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D73534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  ______________.</w:t>
            </w:r>
          </w:p>
        </w:tc>
        <w:tc>
          <w:tcPr>
            <w:tcW w:w="858" w:type="dxa"/>
            <w:shd w:val="clear" w:color="auto" w:fill="auto"/>
          </w:tcPr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__________________________</w:t>
            </w: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D73534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D73534">
              <w:rPr>
                <w:sz w:val="24"/>
                <w:szCs w:val="24"/>
              </w:rPr>
              <w:t>____________  ______________.</w:t>
            </w:r>
          </w:p>
        </w:tc>
      </w:tr>
      <w:bookmarkEnd w:id="4"/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E935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3C" w:rsidRDefault="00456D3C">
      <w:pPr>
        <w:spacing w:after="0" w:line="240" w:lineRule="auto"/>
      </w:pPr>
      <w:r>
        <w:separator/>
      </w:r>
    </w:p>
  </w:endnote>
  <w:endnote w:type="continuationSeparator" w:id="0">
    <w:p w:rsidR="00456D3C" w:rsidRDefault="0045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13" w:rsidRDefault="00D66B13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74465F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66B13" w:rsidRDefault="00D66B13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13" w:rsidRDefault="00D66B13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74465F">
      <w:rPr>
        <w:rFonts w:ascii="Cambria" w:hAnsi="Cambria" w:cs="Cambria"/>
        <w:noProof/>
        <w:sz w:val="24"/>
      </w:rPr>
      <w:t>3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66B13" w:rsidRDefault="00D66B13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13" w:rsidRDefault="00D66B13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66B13" w:rsidRDefault="00D66B13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3C" w:rsidRDefault="00456D3C">
      <w:pPr>
        <w:spacing w:after="0" w:line="240" w:lineRule="auto"/>
      </w:pPr>
      <w:r>
        <w:separator/>
      </w:r>
    </w:p>
  </w:footnote>
  <w:footnote w:type="continuationSeparator" w:id="0">
    <w:p w:rsidR="00456D3C" w:rsidRDefault="0045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13" w:rsidRDefault="00D66B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13" w:rsidRDefault="00D66B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13" w:rsidRDefault="00D66B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2FE654F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1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2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2"/>
  </w:num>
  <w:num w:numId="18">
    <w:abstractNumId w:val="14"/>
  </w:num>
  <w:num w:numId="19">
    <w:abstractNumId w:val="9"/>
  </w:num>
  <w:num w:numId="20">
    <w:abstractNumId w:val="18"/>
  </w:num>
  <w:num w:numId="21">
    <w:abstractNumId w:val="8"/>
  </w:num>
  <w:num w:numId="22">
    <w:abstractNumId w:val="4"/>
  </w:num>
  <w:num w:numId="23">
    <w:abstractNumId w:val="15"/>
  </w:num>
  <w:num w:numId="24">
    <w:abstractNumId w:val="1"/>
  </w:num>
  <w:num w:numId="25">
    <w:abstractNumId w:val="21"/>
  </w:num>
  <w:num w:numId="26">
    <w:abstractNumId w:val="22"/>
  </w:num>
  <w:num w:numId="27">
    <w:abstractNumId w:val="5"/>
  </w:num>
  <w:num w:numId="28">
    <w:abstractNumId w:val="17"/>
  </w:num>
  <w:num w:numId="29">
    <w:abstractNumId w:val="20"/>
  </w:num>
  <w:num w:numId="30">
    <w:abstractNumId w:val="16"/>
  </w:num>
  <w:num w:numId="31">
    <w:abstractNumId w:val="19"/>
  </w:num>
  <w:num w:numId="32">
    <w:abstractNumId w:val="13"/>
  </w:num>
  <w:num w:numId="33">
    <w:abstractNumId w:val="11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 w:numId="3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3A50"/>
    <w:rsid w:val="0002096B"/>
    <w:rsid w:val="000233E1"/>
    <w:rsid w:val="00024BA2"/>
    <w:rsid w:val="00032466"/>
    <w:rsid w:val="00033DAD"/>
    <w:rsid w:val="000369AE"/>
    <w:rsid w:val="0004243B"/>
    <w:rsid w:val="00045253"/>
    <w:rsid w:val="00052D69"/>
    <w:rsid w:val="00054470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359F"/>
    <w:rsid w:val="000E678F"/>
    <w:rsid w:val="000E7F13"/>
    <w:rsid w:val="000F62B0"/>
    <w:rsid w:val="001072F2"/>
    <w:rsid w:val="00117660"/>
    <w:rsid w:val="001207CD"/>
    <w:rsid w:val="001248CA"/>
    <w:rsid w:val="00131C91"/>
    <w:rsid w:val="0013246E"/>
    <w:rsid w:val="00133511"/>
    <w:rsid w:val="00135622"/>
    <w:rsid w:val="00143A9C"/>
    <w:rsid w:val="00153BE1"/>
    <w:rsid w:val="00157A2B"/>
    <w:rsid w:val="00163D54"/>
    <w:rsid w:val="001644B7"/>
    <w:rsid w:val="00165587"/>
    <w:rsid w:val="00176E98"/>
    <w:rsid w:val="0018180B"/>
    <w:rsid w:val="001841E0"/>
    <w:rsid w:val="00185D06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7211C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6038"/>
    <w:rsid w:val="00456D3C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3011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22E5"/>
    <w:rsid w:val="005C301E"/>
    <w:rsid w:val="005C53DC"/>
    <w:rsid w:val="005D5FF2"/>
    <w:rsid w:val="005D7325"/>
    <w:rsid w:val="005E7FDD"/>
    <w:rsid w:val="005F39EF"/>
    <w:rsid w:val="005F3C04"/>
    <w:rsid w:val="00600F2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06C6"/>
    <w:rsid w:val="0074386B"/>
    <w:rsid w:val="0074465F"/>
    <w:rsid w:val="00746628"/>
    <w:rsid w:val="00751BC6"/>
    <w:rsid w:val="007541DF"/>
    <w:rsid w:val="007558D2"/>
    <w:rsid w:val="00770492"/>
    <w:rsid w:val="00772BD4"/>
    <w:rsid w:val="00774891"/>
    <w:rsid w:val="00793AB3"/>
    <w:rsid w:val="00797007"/>
    <w:rsid w:val="007A0E5A"/>
    <w:rsid w:val="007A4190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0754"/>
    <w:rsid w:val="008F1D55"/>
    <w:rsid w:val="008F324A"/>
    <w:rsid w:val="0090072B"/>
    <w:rsid w:val="009061BE"/>
    <w:rsid w:val="00913E3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57009"/>
    <w:rsid w:val="009610D4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C7F00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1D03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30DD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618A"/>
    <w:rsid w:val="00CE6593"/>
    <w:rsid w:val="00CE7068"/>
    <w:rsid w:val="00CE7588"/>
    <w:rsid w:val="00CF23FA"/>
    <w:rsid w:val="00CF2D4D"/>
    <w:rsid w:val="00CF74DE"/>
    <w:rsid w:val="00D018B5"/>
    <w:rsid w:val="00D0210B"/>
    <w:rsid w:val="00D04770"/>
    <w:rsid w:val="00D047E4"/>
    <w:rsid w:val="00D04909"/>
    <w:rsid w:val="00D06518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66B13"/>
    <w:rsid w:val="00D73534"/>
    <w:rsid w:val="00D75946"/>
    <w:rsid w:val="00D81061"/>
    <w:rsid w:val="00D81751"/>
    <w:rsid w:val="00D81A6C"/>
    <w:rsid w:val="00D826D1"/>
    <w:rsid w:val="00D8392A"/>
    <w:rsid w:val="00D84693"/>
    <w:rsid w:val="00D90B1F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35A7"/>
    <w:rsid w:val="00E9630D"/>
    <w:rsid w:val="00EA18D2"/>
    <w:rsid w:val="00EC49F6"/>
    <w:rsid w:val="00EC6051"/>
    <w:rsid w:val="00EE3E15"/>
    <w:rsid w:val="00EE6E9E"/>
    <w:rsid w:val="00EE75FF"/>
    <w:rsid w:val="00EF2D33"/>
    <w:rsid w:val="00F01443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bu.u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F25A-13EA-4BC4-94DC-25CA8EE6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2020-10-23T11:20:00Z</cp:lastPrinted>
  <dcterms:created xsi:type="dcterms:W3CDTF">2021-04-15T05:13:00Z</dcterms:created>
  <dcterms:modified xsi:type="dcterms:W3CDTF">2021-04-15T05:13:00Z</dcterms:modified>
</cp:coreProperties>
</file>