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11" w:type="dxa"/>
        <w:tblInd w:w="4820" w:type="dxa"/>
        <w:tblLook w:val="01E0" w:firstRow="1" w:lastRow="1" w:firstColumn="1" w:lastColumn="1" w:noHBand="0" w:noVBand="0"/>
      </w:tblPr>
      <w:tblGrid>
        <w:gridCol w:w="4711"/>
      </w:tblGrid>
      <w:tr w:rsidR="00484D67" w:rsidRPr="00C47042" w:rsidTr="001F478C">
        <w:tc>
          <w:tcPr>
            <w:tcW w:w="4711" w:type="dxa"/>
          </w:tcPr>
          <w:p w:rsidR="00484D67" w:rsidRPr="00872A83" w:rsidRDefault="00484D67" w:rsidP="001F478C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Toc517582288"/>
            <w:bookmarkStart w:id="1" w:name="_Toc517582612"/>
            <w:bookmarkStart w:id="2" w:name="_GoBack"/>
            <w:bookmarkEnd w:id="2"/>
          </w:p>
        </w:tc>
      </w:tr>
      <w:tr w:rsidR="00484D67" w:rsidRPr="00C47042" w:rsidTr="001F478C">
        <w:tc>
          <w:tcPr>
            <w:tcW w:w="4711" w:type="dxa"/>
          </w:tcPr>
          <w:p w:rsidR="00484D67" w:rsidRPr="00872A83" w:rsidRDefault="00484D67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D67" w:rsidRPr="00C47042" w:rsidTr="001F478C">
        <w:tc>
          <w:tcPr>
            <w:tcW w:w="4711" w:type="dxa"/>
          </w:tcPr>
          <w:p w:rsidR="00484D67" w:rsidRPr="00872A83" w:rsidRDefault="00484D67" w:rsidP="0027220C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4D67" w:rsidRPr="00C47042" w:rsidTr="001F478C">
        <w:tc>
          <w:tcPr>
            <w:tcW w:w="4711" w:type="dxa"/>
          </w:tcPr>
          <w:p w:rsidR="00484D67" w:rsidRPr="00872A83" w:rsidRDefault="00484D67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</w:tbl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8A452B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по</w:t>
      </w:r>
      <w:r w:rsidR="00327540" w:rsidRPr="005B68B0">
        <w:rPr>
          <w:rFonts w:ascii="Times New Roman" w:hAnsi="Times New Roman"/>
          <w:b/>
          <w:sz w:val="28"/>
          <w:szCs w:val="28"/>
        </w:rPr>
        <w:t xml:space="preserve"> </w:t>
      </w:r>
      <w:r w:rsidR="00212E64">
        <w:rPr>
          <w:rFonts w:ascii="Times New Roman" w:hAnsi="Times New Roman"/>
          <w:sz w:val="28"/>
          <w:szCs w:val="28"/>
        </w:rPr>
        <w:t>строительству</w:t>
      </w:r>
      <w:r w:rsidR="005B68B0" w:rsidRPr="005B68B0">
        <w:rPr>
          <w:rFonts w:ascii="Times New Roman" w:hAnsi="Times New Roman"/>
          <w:sz w:val="28"/>
          <w:szCs w:val="28"/>
        </w:rPr>
        <w:t xml:space="preserve"> банковского </w:t>
      </w:r>
      <w:r w:rsidR="00212E64">
        <w:rPr>
          <w:rFonts w:ascii="Times New Roman" w:hAnsi="Times New Roman"/>
          <w:sz w:val="28"/>
          <w:szCs w:val="28"/>
        </w:rPr>
        <w:t xml:space="preserve">экспресс пункта 24/7 работающий </w:t>
      </w:r>
      <w:r w:rsidR="005B68B0" w:rsidRPr="005B68B0">
        <w:rPr>
          <w:rFonts w:ascii="Times New Roman" w:hAnsi="Times New Roman"/>
          <w:sz w:val="28"/>
          <w:szCs w:val="28"/>
        </w:rPr>
        <w:t xml:space="preserve">круглосуточно в </w:t>
      </w:r>
      <w:proofErr w:type="spellStart"/>
      <w:r w:rsidR="0000368E">
        <w:rPr>
          <w:rFonts w:ascii="Times New Roman" w:hAnsi="Times New Roman"/>
          <w:sz w:val="28"/>
          <w:szCs w:val="28"/>
        </w:rPr>
        <w:t>Асакин</w:t>
      </w:r>
      <w:r w:rsidR="00C76CD6">
        <w:rPr>
          <w:rFonts w:ascii="Times New Roman" w:hAnsi="Times New Roman"/>
          <w:sz w:val="28"/>
          <w:szCs w:val="28"/>
        </w:rPr>
        <w:t>ском</w:t>
      </w:r>
      <w:proofErr w:type="spellEnd"/>
      <w:r w:rsidR="00212E64">
        <w:rPr>
          <w:rFonts w:ascii="Times New Roman" w:hAnsi="Times New Roman"/>
          <w:sz w:val="28"/>
          <w:szCs w:val="28"/>
        </w:rPr>
        <w:t xml:space="preserve"> филиале АО «Национальный банк </w:t>
      </w:r>
      <w:r w:rsidR="00DF67A1" w:rsidRPr="00DF67A1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5B68B0">
        <w:rPr>
          <w:rFonts w:ascii="Times New Roman" w:hAnsi="Times New Roman"/>
          <w:sz w:val="28"/>
          <w:szCs w:val="28"/>
        </w:rPr>
        <w:t>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EC49F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212E6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045253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7B5596" w:rsidRDefault="00327540" w:rsidP="000036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96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7B55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="0000368E">
              <w:rPr>
                <w:rFonts w:ascii="Times New Roman" w:hAnsi="Times New Roman" w:cs="Times New Roman"/>
                <w:sz w:val="24"/>
                <w:szCs w:val="24"/>
              </w:rPr>
              <w:t>Асак</w:t>
            </w:r>
            <w:r w:rsidR="00C76CD6">
              <w:rPr>
                <w:rFonts w:ascii="Times New Roman" w:hAnsi="Times New Roman" w:cs="Times New Roman"/>
                <w:sz w:val="24"/>
                <w:szCs w:val="24"/>
              </w:rPr>
              <w:t>инском</w:t>
            </w:r>
            <w:proofErr w:type="spellEnd"/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«Национальный банк </w:t>
            </w:r>
            <w:r w:rsidR="00DF67A1" w:rsidRPr="00DF67A1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A17" w:rsidRPr="007B5596">
              <w:rPr>
                <w:rStyle w:val="BodyTextChar"/>
                <w:rFonts w:cs="Times New Roman"/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3D7712" w:rsidRDefault="00327540" w:rsidP="00D30CF9">
            <w:pPr>
              <w:spacing w:after="0" w:line="240" w:lineRule="auto"/>
              <w:jc w:val="both"/>
              <w:rPr>
                <w:b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</w:t>
            </w:r>
            <w:r w:rsidRPr="00D30CF9">
              <w:rPr>
                <w:rFonts w:ascii="Times New Roman" w:hAnsi="Times New Roman" w:cs="Times New Roman"/>
                <w:sz w:val="24"/>
                <w:szCs w:val="24"/>
              </w:rPr>
              <w:t>стоимость конкурса составляет</w:t>
            </w:r>
            <w:r w:rsidR="0027220C" w:rsidRPr="00D30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CF9" w:rsidRPr="00D30CF9">
              <w:rPr>
                <w:rFonts w:ascii="Times New Roman" w:hAnsi="Times New Roman" w:cs="Times New Roman"/>
                <w:sz w:val="24"/>
                <w:szCs w:val="23"/>
              </w:rPr>
              <w:t>84 374</w:t>
            </w:r>
            <w:r w:rsidR="00D30CF9">
              <w:rPr>
                <w:rFonts w:ascii="Times New Roman" w:hAnsi="Times New Roman" w:cs="Times New Roman"/>
                <w:sz w:val="24"/>
                <w:szCs w:val="23"/>
              </w:rPr>
              <w:t> </w:t>
            </w:r>
            <w:r w:rsidR="00D30CF9" w:rsidRPr="00D30CF9">
              <w:rPr>
                <w:rFonts w:ascii="Times New Roman" w:hAnsi="Times New Roman" w:cs="Times New Roman"/>
                <w:sz w:val="24"/>
                <w:szCs w:val="23"/>
              </w:rPr>
              <w:t>448</w:t>
            </w:r>
            <w:r w:rsidR="00D30CF9">
              <w:rPr>
                <w:rFonts w:ascii="Times New Roman" w:hAnsi="Times New Roman" w:cs="Times New Roman"/>
                <w:sz w:val="24"/>
                <w:szCs w:val="23"/>
              </w:rPr>
              <w:t>,00</w:t>
            </w:r>
            <w:r w:rsidR="008D1608">
              <w:rPr>
                <w:rFonts w:ascii="Times New Roman" w:hAnsi="Times New Roman" w:cs="Times New Roman"/>
                <w:sz w:val="24"/>
                <w:szCs w:val="23"/>
              </w:rPr>
              <w:t xml:space="preserve"> (в</w:t>
            </w:r>
            <w:r w:rsidR="00D30CF9" w:rsidRPr="00D30CF9">
              <w:rPr>
                <w:rFonts w:ascii="Times New Roman" w:hAnsi="Times New Roman" w:cs="Times New Roman"/>
                <w:sz w:val="24"/>
                <w:szCs w:val="23"/>
              </w:rPr>
              <w:t>осемьдесят четыре миллион</w:t>
            </w:r>
            <w:r w:rsidR="00D30CF9">
              <w:rPr>
                <w:rFonts w:ascii="Times New Roman" w:hAnsi="Times New Roman" w:cs="Times New Roman"/>
                <w:sz w:val="24"/>
                <w:szCs w:val="23"/>
              </w:rPr>
              <w:t>ов</w:t>
            </w:r>
            <w:r w:rsidR="00D30CF9" w:rsidRPr="00D30CF9">
              <w:rPr>
                <w:rFonts w:ascii="Times New Roman" w:hAnsi="Times New Roman" w:cs="Times New Roman"/>
                <w:sz w:val="24"/>
                <w:szCs w:val="23"/>
              </w:rPr>
              <w:t xml:space="preserve"> триста семьдесят четыре тысячи четыреста сорок восемь) </w:t>
            </w:r>
            <w:r w:rsidR="0027220C" w:rsidRPr="00D30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EAC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EC49F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EC49F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212E64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212E64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C6462C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DF67A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F67A1">
              <w:rPr>
                <w:b/>
                <w:sz w:val="23"/>
                <w:szCs w:val="23"/>
              </w:rPr>
              <w:t>АО «</w:t>
            </w:r>
            <w:r w:rsidR="00327540" w:rsidRPr="00DF67A1">
              <w:rPr>
                <w:b/>
                <w:sz w:val="23"/>
                <w:szCs w:val="23"/>
              </w:rPr>
              <w:t xml:space="preserve">Национальный банк </w:t>
            </w:r>
            <w:r w:rsidR="00DF67A1" w:rsidRPr="00DF67A1">
              <w:rPr>
                <w:b/>
                <w:sz w:val="23"/>
                <w:szCs w:val="23"/>
              </w:rPr>
              <w:t>внешнеэкономической деятельности Республики Узбекистан</w:t>
            </w:r>
            <w:r w:rsidRPr="00DF67A1">
              <w:rPr>
                <w:b/>
                <w:sz w:val="23"/>
                <w:szCs w:val="23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3D7712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>, ул.</w:t>
            </w:r>
            <w:r w:rsidR="00DF67A1">
              <w:rPr>
                <w:sz w:val="24"/>
                <w:szCs w:val="24"/>
              </w:rPr>
              <w:t xml:space="preserve"> </w:t>
            </w:r>
            <w:r w:rsidRPr="00B60452">
              <w:rPr>
                <w:sz w:val="24"/>
                <w:szCs w:val="24"/>
              </w:rPr>
              <w:t>Амира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00368E" w:rsidTr="00D30CF9">
        <w:trPr>
          <w:trHeight w:val="976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327540" w:rsidRPr="00FD51EC" w:rsidRDefault="000D0A5E" w:rsidP="000D0A5E">
            <w:pPr>
              <w:pStyle w:val="a6"/>
              <w:ind w:firstLine="0"/>
            </w:pPr>
            <w:r w:rsidRPr="0000368E">
              <w:rPr>
                <w:sz w:val="24"/>
                <w:szCs w:val="24"/>
                <w:lang w:val="en-US"/>
              </w:rPr>
              <w:t>E</w:t>
            </w:r>
            <w:r w:rsidRPr="00FD51EC">
              <w:rPr>
                <w:sz w:val="24"/>
                <w:szCs w:val="24"/>
              </w:rPr>
              <w:t>-</w:t>
            </w:r>
            <w:r w:rsidRPr="0000368E">
              <w:rPr>
                <w:sz w:val="24"/>
                <w:szCs w:val="24"/>
                <w:lang w:val="en-US"/>
              </w:rPr>
              <w:t>mail</w:t>
            </w:r>
            <w:r w:rsidRPr="00FD51EC">
              <w:rPr>
                <w:sz w:val="24"/>
                <w:szCs w:val="24"/>
              </w:rPr>
              <w:t xml:space="preserve">: </w:t>
            </w:r>
            <w:hyperlink r:id="rId9" w:history="1">
              <w:r w:rsidRPr="0000368E">
                <w:rPr>
                  <w:sz w:val="24"/>
                  <w:szCs w:val="24"/>
                  <w:lang w:val="en-US"/>
                </w:rPr>
                <w:t>Amansurov</w:t>
              </w:r>
              <w:r w:rsidRPr="00FD51EC">
                <w:rPr>
                  <w:sz w:val="24"/>
                  <w:szCs w:val="24"/>
                </w:rPr>
                <w:t>@</w:t>
              </w:r>
              <w:r w:rsidRPr="0000368E">
                <w:rPr>
                  <w:sz w:val="24"/>
                  <w:szCs w:val="24"/>
                  <w:lang w:val="en-US"/>
                </w:rPr>
                <w:t>nbu</w:t>
              </w:r>
              <w:r w:rsidRPr="00FD51EC">
                <w:rPr>
                  <w:sz w:val="24"/>
                  <w:szCs w:val="24"/>
                </w:rPr>
                <w:t>.</w:t>
              </w:r>
              <w:proofErr w:type="spellStart"/>
              <w:r w:rsidRPr="0000368E">
                <w:rPr>
                  <w:sz w:val="24"/>
                  <w:szCs w:val="24"/>
                  <w:lang w:val="en-US"/>
                </w:rPr>
                <w:t>uz</w:t>
              </w:r>
              <w:proofErr w:type="spellEnd"/>
            </w:hyperlink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FD51EC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FD51EC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  <w:r w:rsidR="00D30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8D1608" w:rsidP="008D1608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Договоро</w:t>
            </w:r>
            <w:r w:rsidR="00327540" w:rsidRPr="00541DBF">
              <w:rPr>
                <w:sz w:val="24"/>
                <w:szCs w:val="24"/>
              </w:rPr>
              <w:t>держатель</w:t>
            </w:r>
            <w:proofErr w:type="spellEnd"/>
            <w:r w:rsidR="00327540" w:rsidRPr="00541DBF">
              <w:rPr>
                <w:sz w:val="24"/>
                <w:szCs w:val="24"/>
              </w:rPr>
              <w:t xml:space="preserve">: </w:t>
            </w:r>
            <w:proofErr w:type="spellStart"/>
            <w:r w:rsidR="0000368E">
              <w:rPr>
                <w:sz w:val="24"/>
                <w:szCs w:val="24"/>
              </w:rPr>
              <w:t>Асакин</w:t>
            </w:r>
            <w:r w:rsidR="00C76CD6">
              <w:rPr>
                <w:sz w:val="24"/>
                <w:szCs w:val="24"/>
              </w:rPr>
              <w:t>ский</w:t>
            </w:r>
            <w:proofErr w:type="spellEnd"/>
            <w:r w:rsidR="00CA18AC">
              <w:rPr>
                <w:sz w:val="24"/>
                <w:szCs w:val="24"/>
              </w:rPr>
              <w:t xml:space="preserve"> филиал </w:t>
            </w:r>
            <w:r w:rsidR="00972250"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 w:rsidR="00972250">
              <w:rPr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Pr="00541DBF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</w:tc>
      </w:tr>
      <w:tr w:rsidR="00327540" w:rsidRPr="00C47042" w:rsidTr="00EC49F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A452B" w:rsidRPr="008A452B" w:rsidRDefault="008A452B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lastRenderedPageBreak/>
              <w:t xml:space="preserve">3.2 </w:t>
            </w:r>
            <w:bookmarkStart w:id="3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3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4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5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6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7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7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B254A4" w:rsidRPr="00C31812" w:rsidRDefault="00B254A4" w:rsidP="00B254A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bookmarkStart w:id="8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8"/>
          </w:p>
        </w:tc>
      </w:tr>
      <w:tr w:rsidR="00327540" w:rsidRPr="00C47042" w:rsidTr="00EC49F6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</w:t>
            </w:r>
            <w:r w:rsidR="008D1608">
              <w:rPr>
                <w:rFonts w:ascii="Times New Roman" w:hAnsi="Times New Roman" w:cs="Times New Roman"/>
                <w:sz w:val="24"/>
                <w:szCs w:val="24"/>
              </w:rPr>
              <w:t xml:space="preserve">я в конкурсе, участник конкурса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10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EC49F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ind w:firstLine="0"/>
              <w:rPr>
                <w:sz w:val="22"/>
                <w:szCs w:val="22"/>
              </w:rPr>
            </w:pPr>
            <w:r w:rsidRPr="00A30903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31EF2">
              <w:rPr>
                <w:sz w:val="22"/>
                <w:szCs w:val="22"/>
              </w:rPr>
              <w:t>:</w:t>
            </w:r>
          </w:p>
        </w:tc>
      </w:tr>
      <w:tr w:rsidR="00327540" w:rsidRPr="00C47042" w:rsidTr="00EC49F6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  <w:p w:rsidR="00A30903" w:rsidRPr="00831EF2" w:rsidRDefault="00A30903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D30CF9">
        <w:trPr>
          <w:trHeight w:val="280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8D1608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</w:t>
            </w:r>
            <w:r w:rsidR="008D1608">
              <w:rPr>
                <w:sz w:val="24"/>
                <w:szCs w:val="24"/>
              </w:rPr>
              <w:t xml:space="preserve">узбекский или </w:t>
            </w:r>
            <w:r w:rsidRPr="00831EF2">
              <w:rPr>
                <w:sz w:val="24"/>
                <w:szCs w:val="24"/>
              </w:rPr>
              <w:t>русский язык</w:t>
            </w:r>
            <w:r w:rsidR="008D1608">
              <w:rPr>
                <w:sz w:val="24"/>
                <w:szCs w:val="24"/>
              </w:rPr>
              <w:t>и</w:t>
            </w:r>
            <w:r w:rsidRPr="00831EF2">
              <w:rPr>
                <w:sz w:val="24"/>
                <w:szCs w:val="24"/>
              </w:rPr>
              <w:t xml:space="preserve"> буд</w:t>
            </w:r>
            <w:r w:rsidR="008D1608">
              <w:rPr>
                <w:sz w:val="24"/>
                <w:szCs w:val="24"/>
              </w:rPr>
              <w:t>у</w:t>
            </w:r>
            <w:r w:rsidRPr="00831EF2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C47042" w:rsidTr="00D30CF9">
        <w:trPr>
          <w:trHeight w:val="70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A30903" w:rsidRPr="00831EF2" w:rsidRDefault="00A30903" w:rsidP="00831EF2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D30CF9">
        <w:trPr>
          <w:trHeight w:val="161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D30CF9">
        <w:trPr>
          <w:trHeight w:val="248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D30CF9">
        <w:trPr>
          <w:trHeight w:val="30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D30CF9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D30CF9">
        <w:trPr>
          <w:trHeight w:val="86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D30CF9">
        <w:trPr>
          <w:trHeight w:val="29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EC49F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DE170A" w:rsidRPr="00C47042" w:rsidTr="00EC49F6">
        <w:trPr>
          <w:trHeight w:val="444"/>
        </w:trPr>
        <w:tc>
          <w:tcPr>
            <w:tcW w:w="746" w:type="dxa"/>
            <w:gridSpan w:val="2"/>
          </w:tcPr>
          <w:p w:rsidR="00DE170A" w:rsidRPr="00C47042" w:rsidRDefault="00DE170A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DE170A" w:rsidRPr="00C47042" w:rsidRDefault="00DE170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DE170A" w:rsidRPr="00C47042" w:rsidRDefault="00DE170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DE170A" w:rsidRDefault="00DE1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состоит из двух частей:</w:t>
            </w:r>
          </w:p>
          <w:p w:rsidR="00DE170A" w:rsidRDefault="00DE170A">
            <w:pPr>
              <w:spacing w:before="1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техническая часть должна соответствовать техническим требованиям Заказчика и содержать в себе подробное описание выполняемой работы. Критерии оценки изложены в Приложении №2; </w:t>
            </w:r>
          </w:p>
        </w:tc>
      </w:tr>
      <w:tr w:rsidR="00DE170A" w:rsidRPr="00C47042" w:rsidTr="009D0699">
        <w:trPr>
          <w:trHeight w:val="1386"/>
        </w:trPr>
        <w:tc>
          <w:tcPr>
            <w:tcW w:w="746" w:type="dxa"/>
            <w:gridSpan w:val="2"/>
          </w:tcPr>
          <w:p w:rsidR="00DE170A" w:rsidRPr="00C47042" w:rsidRDefault="00DE170A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DE170A" w:rsidRPr="00C47042" w:rsidRDefault="00DE170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DE170A" w:rsidRPr="00C47042" w:rsidRDefault="00DE170A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DE170A" w:rsidRDefault="00DE170A" w:rsidP="009D0699">
            <w:pPr>
              <w:tabs>
                <w:tab w:val="center" w:pos="2228"/>
                <w:tab w:val="center" w:pos="3459"/>
                <w:tab w:val="right" w:pos="6444"/>
              </w:tabs>
              <w:spacing w:after="24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работ, стоимость выполнения работ, итоговая сумма, условия платежа, срок действия предложения и т.п.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Default="00327540" w:rsidP="00DE170A">
            <w:pPr>
              <w:tabs>
                <w:tab w:val="center" w:pos="2228"/>
                <w:tab w:val="center" w:pos="3459"/>
                <w:tab w:val="right" w:pos="6444"/>
              </w:tabs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  <w:p w:rsidR="00DE170A" w:rsidRDefault="00DE170A" w:rsidP="00DE170A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оформляется нижеследующим образом.</w:t>
            </w:r>
          </w:p>
          <w:p w:rsidR="00DE170A" w:rsidRDefault="00DE170A" w:rsidP="00DE170A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конверт;</w:t>
            </w:r>
          </w:p>
          <w:p w:rsidR="00DE170A" w:rsidRDefault="00DE170A" w:rsidP="00DE170A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:rsidR="00DE170A" w:rsidRPr="00E059A1" w:rsidRDefault="00DE170A" w:rsidP="00DE170A">
            <w:pPr>
              <w:tabs>
                <w:tab w:val="center" w:pos="2228"/>
                <w:tab w:val="center" w:pos="3459"/>
                <w:tab w:val="right" w:pos="6444"/>
              </w:tabs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конверт с ценовым предложением.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4B0AC9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32754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EC49F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4B0AC9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4B0AC9" w:rsidP="004B0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8D1608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</w:t>
            </w:r>
            <w:r w:rsidR="008D1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4B0AC9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proofErr w:type="spellStart"/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4B0A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B0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4B0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B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</w:t>
            </w:r>
            <w:proofErr w:type="gram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540" w:rsidRPr="00E059A1" w:rsidRDefault="00327540" w:rsidP="004B0AC9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0" w:line="240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202D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68202D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0AC9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  <w:r w:rsidR="00DF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4B0A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B0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Продление срока предоставления конкурсных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</w:t>
            </w:r>
            <w:r w:rsidRPr="00BB6761">
              <w:rPr>
                <w:sz w:val="24"/>
                <w:szCs w:val="24"/>
              </w:rPr>
              <w:lastRenderedPageBreak/>
              <w:t xml:space="preserve">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EC49F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EC49F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 </w:t>
            </w:r>
          </w:p>
        </w:tc>
      </w:tr>
      <w:tr w:rsidR="00327540" w:rsidRPr="00C47042" w:rsidTr="00EC49F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EC49F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68202D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DE170A">
        <w:trPr>
          <w:trHeight w:val="819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68202D">
        <w:trPr>
          <w:trHeight w:val="536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1D7B2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</w:t>
            </w:r>
            <w:proofErr w:type="gramStart"/>
            <w:r w:rsidRPr="00BB6761">
              <w:rPr>
                <w:sz w:val="24"/>
                <w:szCs w:val="24"/>
              </w:rPr>
              <w:t>с даты поступления</w:t>
            </w:r>
            <w:proofErr w:type="gramEnd"/>
            <w:r w:rsidRPr="00BB6761">
              <w:rPr>
                <w:sz w:val="24"/>
                <w:szCs w:val="24"/>
              </w:rPr>
              <w:t xml:space="preserve"> такого запроса заказчик обязан представить участнику конкурса соответствующие разъяснения.</w:t>
            </w:r>
          </w:p>
        </w:tc>
      </w:tr>
      <w:tr w:rsidR="00327540" w:rsidRPr="00C47042" w:rsidTr="00EC49F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DE170A">
        <w:trPr>
          <w:trHeight w:val="196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DE170A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DE170A">
        <w:trPr>
          <w:trHeight w:val="171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DE170A">
        <w:trPr>
          <w:trHeight w:val="117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DE170A">
        <w:trPr>
          <w:trHeight w:val="39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DE170A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F085D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6949B5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EC49F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E6261B" w:rsidP="00A7695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proofErr w:type="spellStart"/>
            <w:r w:rsidR="00D30CF9">
              <w:rPr>
                <w:rFonts w:ascii="Times New Roman" w:hAnsi="Times New Roman" w:cs="Times New Roman"/>
                <w:b/>
                <w:sz w:val="24"/>
                <w:szCs w:val="24"/>
              </w:rPr>
              <w:t>Асаки</w:t>
            </w:r>
            <w:r w:rsidR="00A76950">
              <w:rPr>
                <w:rFonts w:ascii="Times New Roman" w:hAnsi="Times New Roman" w:cs="Times New Roman"/>
                <w:b/>
                <w:sz w:val="24"/>
                <w:szCs w:val="24"/>
              </w:rPr>
              <w:t>нским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филиал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ом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АО “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="00DF67A1">
              <w:rPr>
                <w:lang w:val="uz-Cyrl-UZ"/>
              </w:rPr>
              <w:t> 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 w:rsidR="00FD51EC"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</w:p>
        </w:tc>
      </w:tr>
      <w:tr w:rsidR="00327540" w:rsidRPr="00C47042" w:rsidTr="00EC49F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EC49F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B9694A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Pr="00C47042" w:rsidRDefault="00B9694A" w:rsidP="00B9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64" w:type="dxa"/>
            <w:vAlign w:val="bottom"/>
          </w:tcPr>
          <w:p w:rsidR="00327540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конкурса отказывается заключать договор на условиях конкурса, право заключения договора переходит к резервному исполнителю. При этом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  <w:p w:rsidR="00B9694A" w:rsidRPr="00C47042" w:rsidRDefault="00B9694A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Default="005A2984" w:rsidP="00512C0A">
      <w:pPr>
        <w:numPr>
          <w:ilvl w:val="0"/>
          <w:numId w:val="17"/>
        </w:numPr>
        <w:spacing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512C0A" w:rsidRPr="003E6F35" w:rsidRDefault="00512C0A" w:rsidP="00512C0A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Справка уполномоченного органа об отсутствии задолженности по уплате налогов  и других обязательных платежей</w:t>
      </w:r>
    </w:p>
    <w:p w:rsidR="00512C0A" w:rsidRPr="00C47042" w:rsidRDefault="00512C0A" w:rsidP="00512C0A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EC6051" w:rsidRPr="00EC6051" w:rsidRDefault="00EC6051" w:rsidP="00EC6051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3E6F35">
        <w:rPr>
          <w:rFonts w:ascii="Times New Roman" w:hAnsi="Times New Roman" w:cs="Times New Roman"/>
          <w:sz w:val="24"/>
          <w:szCs w:val="24"/>
        </w:rPr>
        <w:t xml:space="preserve"> задолженности по уплате налогов  и других обязательных платежей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уют</w:t>
            </w: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57009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82272A" w:rsidRDefault="00957009" w:rsidP="006820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453"/>
        <w:gridCol w:w="6249"/>
      </w:tblGrid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1644B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</w:t>
            </w:r>
            <w:proofErr w:type="gramEnd"/>
            <w:r w:rsidRPr="001644B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/п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Асакинском</w:t>
            </w:r>
            <w:proofErr w:type="spell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филиале АО «Национальный банк внешнеэкономической деятельности Республики Узбекистан»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Ориентировочная стоимость строительства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tabs>
                <w:tab w:val="left" w:pos="1304"/>
                <w:tab w:val="center" w:pos="323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84 374 448 </w:t>
            </w:r>
            <w:proofErr w:type="spell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сум</w:t>
            </w:r>
            <w:proofErr w:type="spell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 учетом НДС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ЧП «</w:t>
            </w:r>
            <w:proofErr w:type="spell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Андижон</w:t>
            </w:r>
            <w:proofErr w:type="spell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Айбил</w:t>
            </w:r>
            <w:proofErr w:type="spell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</w:t>
            </w:r>
            <w:proofErr w:type="gram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механизмов</w:t>
            </w:r>
            <w:proofErr w:type="gram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квалифицированных рабочих (ка</w:t>
            </w:r>
            <w:r w:rsidR="00EC605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менщик, </w:t>
            </w: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штукатурщик, маляр) на постоянной основе не менее 2 человек;</w:t>
            </w:r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</w:t>
            </w:r>
            <w:proofErr w:type="gram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строительстве</w:t>
            </w:r>
            <w:proofErr w:type="gram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</w:t>
            </w:r>
            <w:proofErr w:type="gram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-находящиеся в состоянии судебного разбирательства с заказчиком;</w:t>
            </w:r>
            <w:proofErr w:type="gramEnd"/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proofErr w:type="gram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находящиеся</w:t>
            </w:r>
            <w:proofErr w:type="gram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Едино</w:t>
            </w:r>
            <w:r w:rsidR="0066139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</w:t>
            </w: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</w:t>
            </w:r>
            <w:proofErr w:type="gram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  <w:proofErr w:type="gram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,2х3</w:t>
            </w: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</w:t>
            </w: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кровля из </w:t>
            </w:r>
            <w:proofErr w:type="spell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</w:t>
            </w:r>
            <w:r w:rsidR="00957009"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</w:t>
            </w: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дверью, полы из керамической плитки, потолок пластиковые, </w:t>
            </w:r>
            <w:proofErr w:type="spell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шириной 0,6 м по </w:t>
            </w: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11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-сдача заказчику законченных ремонтных работ </w:t>
            </w:r>
            <w:proofErr w:type="gram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согласно</w:t>
            </w:r>
            <w:proofErr w:type="gram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</w:t>
            </w:r>
            <w:proofErr w:type="gram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1644B7" w:rsidRPr="001644B7" w:rsidTr="00FD51EC">
        <w:tc>
          <w:tcPr>
            <w:tcW w:w="9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</w:t>
            </w:r>
          </w:p>
        </w:tc>
        <w:tc>
          <w:tcPr>
            <w:tcW w:w="2501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629" w:type="dxa"/>
            <w:vAlign w:val="center"/>
          </w:tcPr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дневный</w:t>
            </w:r>
            <w:proofErr w:type="spellEnd"/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срок составить акт осмотра и принять решение о компенсации ущерба.</w:t>
            </w:r>
          </w:p>
          <w:p w:rsidR="001644B7" w:rsidRPr="001644B7" w:rsidRDefault="001644B7" w:rsidP="001644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644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1644B7" w:rsidP="006C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4B7">
              <w:rPr>
                <w:rFonts w:ascii="Times New Roman" w:hAnsi="Times New Roman" w:cs="Times New Roman"/>
                <w:b/>
                <w:sz w:val="24"/>
                <w:szCs w:val="24"/>
              </w:rPr>
              <w:t>84 374 448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B9694A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B9694A" w:rsidRDefault="00327540" w:rsidP="00B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075AEC" w:rsidRPr="00B96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694A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D30CF9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Асаки</w:t>
      </w:r>
      <w:r w:rsidR="00A76950">
        <w:rPr>
          <w:rFonts w:ascii="Times New Roman" w:hAnsi="Times New Roman" w:cs="Times New Roman"/>
          <w:b/>
          <w:color w:val="auto"/>
          <w:sz w:val="24"/>
          <w:szCs w:val="24"/>
        </w:rPr>
        <w:t>нский</w:t>
      </w:r>
      <w:proofErr w:type="spellEnd"/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Строительство банковского экспресс</w:t>
      </w:r>
      <w:proofErr w:type="gram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пункта 24/7 работающий круглосуточно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Асаки</w:t>
      </w:r>
      <w:r w:rsidR="000B6785">
        <w:rPr>
          <w:rFonts w:ascii="Times New Roman" w:hAnsi="Times New Roman" w:cs="Times New Roman"/>
          <w:b/>
          <w:sz w:val="24"/>
          <w:szCs w:val="24"/>
        </w:rPr>
        <w:t>нском</w:t>
      </w:r>
      <w:proofErr w:type="spellEnd"/>
      <w:r w:rsidR="000B6785" w:rsidRPr="00E62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D30CF9">
        <w:rPr>
          <w:rFonts w:ascii="Times New Roman" w:hAnsi="Times New Roman" w:cs="Times New Roman"/>
          <w:b/>
          <w:sz w:val="24"/>
          <w:szCs w:val="24"/>
        </w:rPr>
        <w:t>Асаки</w:t>
      </w:r>
      <w:r w:rsidR="00A76950">
        <w:rPr>
          <w:rFonts w:ascii="Times New Roman" w:hAnsi="Times New Roman" w:cs="Times New Roman"/>
          <w:b/>
          <w:sz w:val="24"/>
          <w:szCs w:val="24"/>
        </w:rPr>
        <w:t>нском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</w:t>
      </w:r>
      <w:r w:rsidR="001644B7">
        <w:rPr>
          <w:rFonts w:ascii="Times New Roman" w:hAnsi="Times New Roman" w:cs="Times New Roman"/>
          <w:sz w:val="24"/>
          <w:szCs w:val="24"/>
        </w:rPr>
        <w:t>не менее 3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6C39D5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D30CF9">
        <w:rPr>
          <w:rFonts w:ascii="Times New Roman" w:hAnsi="Times New Roman" w:cs="Times New Roman"/>
          <w:sz w:val="24"/>
          <w:szCs w:val="24"/>
        </w:rPr>
        <w:t>Асаки</w:t>
      </w:r>
      <w:r w:rsidR="00A76950">
        <w:rPr>
          <w:rFonts w:ascii="Times New Roman" w:hAnsi="Times New Roman" w:cs="Times New Roman"/>
          <w:sz w:val="24"/>
          <w:szCs w:val="24"/>
        </w:rPr>
        <w:t>нском</w:t>
      </w:r>
      <w:proofErr w:type="spellEnd"/>
      <w:r w:rsidR="00562E74" w:rsidRPr="007B5596">
        <w:rPr>
          <w:rFonts w:ascii="Times New Roman" w:hAnsi="Times New Roman" w:cs="Times New Roman"/>
          <w:sz w:val="24"/>
          <w:szCs w:val="24"/>
        </w:rPr>
        <w:t xml:space="preserve"> филиале АО «Национальный банк </w:t>
      </w:r>
      <w:r w:rsidR="00562E74" w:rsidRPr="00DF67A1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="00562E74" w:rsidRPr="007B5596">
        <w:rPr>
          <w:rFonts w:ascii="Times New Roman" w:hAnsi="Times New Roman" w:cs="Times New Roman"/>
          <w:sz w:val="24"/>
          <w:szCs w:val="24"/>
        </w:rPr>
        <w:t>»</w:t>
      </w:r>
      <w:r w:rsidR="00562E74" w:rsidRPr="007B5596">
        <w:rPr>
          <w:rStyle w:val="BodyTextChar"/>
          <w:rFonts w:cs="Times New Roman"/>
          <w:sz w:val="24"/>
          <w:szCs w:val="24"/>
        </w:rPr>
        <w:t>»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тыс.сум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055A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6A" w:rsidRDefault="00CA3E6A">
      <w:pPr>
        <w:spacing w:after="0" w:line="240" w:lineRule="auto"/>
      </w:pPr>
      <w:r>
        <w:separator/>
      </w:r>
    </w:p>
  </w:endnote>
  <w:endnote w:type="continuationSeparator" w:id="0">
    <w:p w:rsidR="00CA3E6A" w:rsidRDefault="00CA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99" w:rsidRDefault="009D0699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13310F">
      <w:rPr>
        <w:rFonts w:ascii="Cambria" w:hAnsi="Cambria" w:cs="Cambria"/>
        <w:noProof/>
        <w:sz w:val="24"/>
      </w:rPr>
      <w:t>26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9D0699" w:rsidRDefault="009D0699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99" w:rsidRDefault="009D0699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13310F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9D0699" w:rsidRDefault="009D0699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99" w:rsidRDefault="009D0699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9D0699" w:rsidRDefault="009D0699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6A" w:rsidRDefault="00CA3E6A">
      <w:pPr>
        <w:spacing w:after="0" w:line="240" w:lineRule="auto"/>
      </w:pPr>
      <w:r>
        <w:separator/>
      </w:r>
    </w:p>
  </w:footnote>
  <w:footnote w:type="continuationSeparator" w:id="0">
    <w:p w:rsidR="00CA3E6A" w:rsidRDefault="00CA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99" w:rsidRDefault="009D06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99" w:rsidRDefault="009D06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99" w:rsidRDefault="009D06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3A50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10F"/>
    <w:rsid w:val="00133511"/>
    <w:rsid w:val="00135622"/>
    <w:rsid w:val="00143A9C"/>
    <w:rsid w:val="00153BE1"/>
    <w:rsid w:val="00163D54"/>
    <w:rsid w:val="001644B7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0AC9"/>
    <w:rsid w:val="004B2DE7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12C0A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1395"/>
    <w:rsid w:val="00663547"/>
    <w:rsid w:val="00665396"/>
    <w:rsid w:val="006671D7"/>
    <w:rsid w:val="00670736"/>
    <w:rsid w:val="0068202D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1D55"/>
    <w:rsid w:val="008F324A"/>
    <w:rsid w:val="0090072B"/>
    <w:rsid w:val="009061B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57009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0699"/>
    <w:rsid w:val="009D1CB6"/>
    <w:rsid w:val="009D72FB"/>
    <w:rsid w:val="009E29E8"/>
    <w:rsid w:val="009E72A4"/>
    <w:rsid w:val="009F652B"/>
    <w:rsid w:val="00A022B3"/>
    <w:rsid w:val="00A10C80"/>
    <w:rsid w:val="00A1133F"/>
    <w:rsid w:val="00A20B50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466ED"/>
    <w:rsid w:val="00B60452"/>
    <w:rsid w:val="00B6133D"/>
    <w:rsid w:val="00B65D9D"/>
    <w:rsid w:val="00B66C6B"/>
    <w:rsid w:val="00B703F0"/>
    <w:rsid w:val="00B74E0C"/>
    <w:rsid w:val="00B91D10"/>
    <w:rsid w:val="00B94ECE"/>
    <w:rsid w:val="00B9694A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A3E6A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4485"/>
    <w:rsid w:val="00DB12F5"/>
    <w:rsid w:val="00DB1E79"/>
    <w:rsid w:val="00DB2C4D"/>
    <w:rsid w:val="00DB6E22"/>
    <w:rsid w:val="00DC0661"/>
    <w:rsid w:val="00DC0A05"/>
    <w:rsid w:val="00DC1792"/>
    <w:rsid w:val="00DC4053"/>
    <w:rsid w:val="00DC7C85"/>
    <w:rsid w:val="00DD02C1"/>
    <w:rsid w:val="00DD6D7F"/>
    <w:rsid w:val="00DE170A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C6051"/>
    <w:rsid w:val="00EE3E15"/>
    <w:rsid w:val="00EE75FF"/>
    <w:rsid w:val="00EF2D33"/>
    <w:rsid w:val="00F01443"/>
    <w:rsid w:val="00F05416"/>
    <w:rsid w:val="00F14EE9"/>
    <w:rsid w:val="00F24232"/>
    <w:rsid w:val="00F313CB"/>
    <w:rsid w:val="00F327FA"/>
    <w:rsid w:val="00F36AE6"/>
    <w:rsid w:val="00F3731C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51EC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bu.u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22A6-5746-46A8-A565-74CC1E97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5841</Words>
  <Characters>33296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2020-10-28T14:29:00Z</cp:lastPrinted>
  <dcterms:created xsi:type="dcterms:W3CDTF">2020-10-29T06:01:00Z</dcterms:created>
  <dcterms:modified xsi:type="dcterms:W3CDTF">2020-10-29T06:01:00Z</dcterms:modified>
</cp:coreProperties>
</file>