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108" w:type="dxa"/>
        <w:tblLook w:val="01E0" w:firstRow="1" w:lastRow="1" w:firstColumn="1" w:lastColumn="1" w:noHBand="0" w:noVBand="0"/>
      </w:tblPr>
      <w:tblGrid>
        <w:gridCol w:w="3969"/>
      </w:tblGrid>
      <w:tr w:rsidR="00484D67" w:rsidRPr="00C47042" w:rsidTr="001248CA">
        <w:tc>
          <w:tcPr>
            <w:tcW w:w="3969" w:type="dxa"/>
          </w:tcPr>
          <w:p w:rsidR="00484D67" w:rsidRPr="00872A83" w:rsidRDefault="00484D67" w:rsidP="001F478C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517582288"/>
            <w:bookmarkStart w:id="1" w:name="_Toc517582612"/>
            <w:bookmarkStart w:id="2" w:name="_GoBack"/>
            <w:bookmarkEnd w:id="2"/>
          </w:p>
        </w:tc>
      </w:tr>
      <w:tr w:rsidR="00484D67" w:rsidRPr="00C47042" w:rsidTr="001248CA">
        <w:trPr>
          <w:trHeight w:val="2593"/>
        </w:trPr>
        <w:tc>
          <w:tcPr>
            <w:tcW w:w="3969" w:type="dxa"/>
          </w:tcPr>
          <w:p w:rsidR="00C230DD" w:rsidRPr="00872A83" w:rsidRDefault="00C230DD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0DD" w:rsidRPr="00C47042" w:rsidTr="001248CA">
        <w:trPr>
          <w:trHeight w:val="74"/>
        </w:trPr>
        <w:tc>
          <w:tcPr>
            <w:tcW w:w="3969" w:type="dxa"/>
          </w:tcPr>
          <w:p w:rsidR="00C230DD" w:rsidRPr="00872A83" w:rsidRDefault="00C230DD" w:rsidP="00C230DD">
            <w:pPr>
              <w:keepNext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30DD" w:rsidRPr="00C47042" w:rsidTr="001248CA">
        <w:trPr>
          <w:trHeight w:val="2735"/>
        </w:trPr>
        <w:tc>
          <w:tcPr>
            <w:tcW w:w="3969" w:type="dxa"/>
          </w:tcPr>
          <w:p w:rsidR="001248CA" w:rsidRPr="00872A83" w:rsidRDefault="001248CA" w:rsidP="004B3011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bookmarkEnd w:id="1"/>
    </w:tbl>
    <w:p w:rsidR="00C230DD" w:rsidRDefault="00C230D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1248CA" w:rsidRPr="00C230DD" w:rsidRDefault="001248CA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  <w:sectPr w:rsidR="001248CA" w:rsidRPr="00C230DD" w:rsidSect="00C230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709" w:left="1701" w:header="720" w:footer="720" w:gutter="0"/>
          <w:cols w:num="2" w:space="720"/>
        </w:sectPr>
      </w:pPr>
    </w:p>
    <w:p w:rsidR="00327540" w:rsidRPr="00C230DD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C230DD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C230DD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A452B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по</w:t>
      </w:r>
      <w:r w:rsidR="00327540" w:rsidRPr="005B68B0">
        <w:rPr>
          <w:rFonts w:ascii="Times New Roman" w:hAnsi="Times New Roman"/>
          <w:b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>строительству</w:t>
      </w:r>
      <w:r w:rsidR="005B68B0" w:rsidRPr="005B68B0">
        <w:rPr>
          <w:rFonts w:ascii="Times New Roman" w:hAnsi="Times New Roman"/>
          <w:sz w:val="28"/>
          <w:szCs w:val="28"/>
        </w:rPr>
        <w:t xml:space="preserve"> банковского </w:t>
      </w:r>
      <w:r w:rsidR="00212E64">
        <w:rPr>
          <w:rFonts w:ascii="Times New Roman" w:hAnsi="Times New Roman"/>
          <w:sz w:val="28"/>
          <w:szCs w:val="28"/>
        </w:rPr>
        <w:t xml:space="preserve">экспресс пункта 24/7 работающий </w:t>
      </w:r>
      <w:r w:rsidR="005B68B0" w:rsidRPr="005B68B0">
        <w:rPr>
          <w:rFonts w:ascii="Times New Roman" w:hAnsi="Times New Roman"/>
          <w:sz w:val="28"/>
          <w:szCs w:val="28"/>
        </w:rPr>
        <w:t xml:space="preserve">круглосуточно в </w:t>
      </w:r>
      <w:proofErr w:type="spellStart"/>
      <w:r w:rsidR="00157A2B">
        <w:rPr>
          <w:rFonts w:ascii="Times New Roman" w:hAnsi="Times New Roman"/>
          <w:sz w:val="28"/>
          <w:szCs w:val="28"/>
        </w:rPr>
        <w:t>Ангренском</w:t>
      </w:r>
      <w:proofErr w:type="spellEnd"/>
      <w:r w:rsidR="00157A2B">
        <w:rPr>
          <w:rFonts w:ascii="Times New Roman" w:hAnsi="Times New Roman"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 xml:space="preserve">филиале АО «Национальный банк </w:t>
      </w:r>
      <w:r w:rsidR="00DF67A1" w:rsidRPr="00DF67A1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9"/>
        <w:gridCol w:w="284"/>
        <w:gridCol w:w="6523"/>
      </w:tblGrid>
      <w:tr w:rsidR="008F0754" w:rsidRPr="008F0754" w:rsidTr="00185D06"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Общие положения</w:t>
            </w: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Настоящая конкурсная документация разработана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 xml:space="preserve">в соответствии с требованиями Закона Республики Узбекистан «О государственных закупках» (далее - Закон), постановлениями Президента Республики Узбекистан от 20 февраля 2018 года №ПП-3550 «О мерах по совершенствованию порядка проведения экспертизы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предпроектной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проектной, тендерной документации и контрактов.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Предмет конкурса: 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конкурса: </w:t>
            </w:r>
            <w:r w:rsidRPr="004B3011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011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экспресс пункта 24/7 работающий круглосуточно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Ангренском</w:t>
            </w:r>
            <w:proofErr w:type="spellEnd"/>
            <w:r w:rsidRPr="004B3011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«Национальный банк внешнеэкономической деятельности Республики Узбекистан»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конкурса составляет:                   </w:t>
            </w:r>
            <w:r w:rsidRPr="00D04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47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D047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D0477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Pr="00D04770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7A2B">
              <w:rPr>
                <w:rFonts w:ascii="Times New Roman" w:hAnsi="Times New Roman" w:cs="Times New Roman"/>
                <w:sz w:val="24"/>
                <w:szCs w:val="24"/>
              </w:rPr>
              <w:t>девяносто два миллиона сто двадцать четыре тысячи семьсот восемьдесят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Цены, указанные в предложении, не должны превышать предельную стоимость.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задание на закупаемую услугу (работ) представлено в технической части конкурсной документации.</w:t>
            </w:r>
          </w:p>
        </w:tc>
      </w:tr>
      <w:tr w:rsidR="008F0754" w:rsidRPr="008F0754" w:rsidTr="00185D06">
        <w:trPr>
          <w:trHeight w:val="461"/>
        </w:trPr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Формы заседания конкурсной комиссии –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очная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F0754" w:rsidRPr="008F0754" w:rsidTr="00185D06"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Организаторы конкурса</w:t>
            </w: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АО «Национальный банк внешнеэкономической деятельности Республики Узбекистан» является заказчиком (далее «Заказчик», «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Узнацбанк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», «Банк») конкурса.</w:t>
            </w:r>
          </w:p>
          <w:p w:rsidR="008F0754" w:rsidRPr="008F0754" w:rsidRDefault="008F0754" w:rsidP="008F07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 «Заказчика»: 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101» . 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Реквизиты «Заказчика»: 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МФО: 00450;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ИНН: 200836354;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</w:tcPr>
          <w:p w:rsidR="008F0754" w:rsidRPr="008F0754" w:rsidRDefault="008F0754" w:rsidP="008F0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Рабочим органом комиссии является Служба организации закупок при Департаменте стратегического развития банка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Банка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(далее - «Рабочий орган»).</w:t>
            </w:r>
          </w:p>
          <w:p w:rsidR="008F0754" w:rsidRPr="008F0754" w:rsidRDefault="008F0754" w:rsidP="008F07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Адрес: 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101» . </w:t>
            </w:r>
          </w:p>
          <w:p w:rsidR="008F0754" w:rsidRPr="008F0754" w:rsidRDefault="008F0754" w:rsidP="008F07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Контактное лицо Организатора: Мансуров А. Р.</w:t>
            </w:r>
          </w:p>
          <w:p w:rsidR="008F0754" w:rsidRPr="008F0754" w:rsidRDefault="008F0754" w:rsidP="008F07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Тел: +99878 147 15 27 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внутр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.: 17-70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E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-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mail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: </w:t>
            </w:r>
            <w:hyperlink r:id="rId15" w:history="1">
              <w:r w:rsidRPr="008F075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Amansurov</w:t>
              </w:r>
              <w:r w:rsidRPr="008F075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@</w:t>
              </w:r>
              <w:r w:rsidRPr="008F075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nbu</w:t>
              </w:r>
              <w:r w:rsidRPr="008F075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.</w:t>
              </w:r>
              <w:r w:rsidRPr="008F0754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uz</w:t>
              </w:r>
            </w:hyperlink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Договородержатель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Ангренский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филиал АО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«Национальный банк внешнеэкономической деятельности Республики Узбекистан».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 проводится конкурсной комиссией, созданной Заказчиком, в составе не менее пяти членов.</w:t>
            </w:r>
          </w:p>
        </w:tc>
      </w:tr>
      <w:tr w:rsidR="008F0754" w:rsidRPr="008F0754" w:rsidTr="00185D06"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5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Участники конкурса</w:t>
            </w: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3.1</w:t>
            </w:r>
          </w:p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конкурсе могут принять участие любые юридические лица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независимо от форм собственности, за исключением юридических лиц, приведенных в ИУК 5.3.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 должны соответствовать следующим критериям: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 наличие необходимых технических, финансовых, материальных, кадровых и других ресурсов для исполнения договора;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 правомочность на заключение договора;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 отсутствие задолженности по уплате налогов и других обязательных платежей; 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 отсутствие введенных в отношении них процедур банкротства;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 отсутствие судебного или арбитражного разбирательства с «Заказчиком»;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 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- отсутствие записи о них в Едином реестре недобросовестных исполнителей.</w:t>
            </w:r>
          </w:p>
        </w:tc>
      </w:tr>
      <w:tr w:rsidR="00185D06" w:rsidRPr="008F0754" w:rsidTr="00185D06">
        <w:tc>
          <w:tcPr>
            <w:tcW w:w="566" w:type="dxa"/>
          </w:tcPr>
          <w:p w:rsidR="00185D06" w:rsidRPr="008F0754" w:rsidRDefault="00185D06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69" w:type="dxa"/>
            <w:gridSpan w:val="4"/>
          </w:tcPr>
          <w:p w:rsidR="00185D06" w:rsidRPr="008F0754" w:rsidRDefault="00185D06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  <w:r w:rsidRPr="008F07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8F07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конкурсе</w:t>
            </w:r>
            <w:proofErr w:type="gramEnd"/>
            <w:r w:rsidRPr="008F07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      </w:r>
          </w:p>
        </w:tc>
      </w:tr>
      <w:tr w:rsidR="008F0754" w:rsidRPr="008F0754" w:rsidTr="00185D06">
        <w:trPr>
          <w:trHeight w:val="3505"/>
        </w:trPr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Порядок получения конкурсной документации</w:t>
            </w: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 участия в конкурсе, участник должен: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     а) получить электронную версию конкурсной документации, размещенную на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вэб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-сайте </w:t>
            </w:r>
            <w:hyperlink r:id="rId16" w:history="1">
              <w:r w:rsidRPr="008F0754">
                <w:rPr>
                  <w:rFonts w:ascii="Times New Roman" w:eastAsia="Calibri" w:hAnsi="Times New Roman" w:cs="Times New Roman"/>
                  <w:color w:val="auto"/>
                  <w:sz w:val="24"/>
                  <w:szCs w:val="24"/>
                  <w:u w:val="single"/>
                  <w:lang w:eastAsia="en-US"/>
                </w:rPr>
                <w:t>www.nbu.uz</w:t>
              </w:r>
            </w:hyperlink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hyperlink r:id="rId17" w:history="1">
              <w:r w:rsidRPr="008F0754">
                <w:rPr>
                  <w:rFonts w:ascii="Times New Roman" w:eastAsia="Calibri" w:hAnsi="Times New Roman" w:cs="Times New Roman"/>
                  <w:color w:val="auto"/>
                  <w:sz w:val="24"/>
                  <w:szCs w:val="24"/>
                  <w:u w:val="single"/>
                  <w:lang w:eastAsia="en-US"/>
                </w:rPr>
                <w:t>www.xarid.uz</w:t>
              </w:r>
            </w:hyperlink>
            <w:r w:rsidRPr="008F07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>,</w:t>
            </w:r>
            <w:r w:rsidRPr="008F07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ознакомления с условиями закупки,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а также уведомить заказчика о своем намерении участвовать в данном конкурсе путем направления официального письма нарочно или по факсу, почте, электронной почте. При этом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письме должно содержаться наименование участника, предмет конкурса, а также адрес и банковские реквизиты участника;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     б) подать квалификационные документы и предложение в соответствии с требованиями на</w:t>
            </w:r>
          </w:p>
        </w:tc>
      </w:tr>
      <w:tr w:rsidR="008F0754" w:rsidRPr="008F0754" w:rsidTr="00185D06"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Квалификационный отбор участников для участия в конкурсе</w:t>
            </w: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Перед началом конкурса, конкурсной комиссией производится квалификационный отбор участников. К дальнейшему участию в конкурсе допускаются только те участники, которые прошли квалификационный отбор.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При квалификационном отборе участников,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к участию в конкурсе не допускаются организации: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предоставившие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bookmarkStart w:id="3" w:name="_Hlk515441361"/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на стадии реорганизации, ликвидации или банкротства;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Едином реестре недобросовестных исполнителей;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имеющиеся задолженности по уплате налогов и других обязательных платежей;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и предоставление информации при проведении финансовых операций (оффшорные зоны).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Критерии квалификационной оценки представлены в Приложении №2</w:t>
            </w:r>
          </w:p>
        </w:tc>
      </w:tr>
      <w:bookmarkEnd w:id="3"/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отстраняет участника от участия в конкурсе, если: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  <w:proofErr w:type="gramEnd"/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8F0754" w:rsidRPr="008F0754" w:rsidTr="00185D06"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Язык конкурса, единица измерений.</w:t>
            </w:r>
          </w:p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Предложение и вся связанная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русский язык будет превалирующим.</w:t>
            </w:r>
          </w:p>
        </w:tc>
      </w:tr>
      <w:tr w:rsidR="008F0754" w:rsidRPr="008F0754" w:rsidTr="00185D06"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Предложение и порядок его оформления</w:t>
            </w: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Предложение участника передается в рабочий орган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конкурса: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вправе подать только одно предложение;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состоит из двух частей: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в себе подробное описание предлагаемой услуги;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ценовая часть должна соответствовать условиям конкурса и содержать следующую информацию: наименование услуги (работ), цена услуги, итоговая сумма, условия поставки, условия платежа, срок действия предложения и т.п.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оформляется нижеследующим образом.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внешний конверт;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внутренний конверт с техническим предложением;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внутренний конверт с ценовым предложением. 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внешнем конверте должно быть указано: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отметка «оригинал» или «копия»;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наименование предмета конкурса;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наименование участника;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надпись «Внешний конверт»;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       наименование </w:t>
            </w:r>
            <w:bookmarkStart w:id="4" w:name="_Hlk505348253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заказчика и</w:t>
            </w: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его адрес;</w:t>
            </w:r>
            <w:bookmarkEnd w:id="4"/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       надпись «не вскрывать до последнего срока подачи предложений </w:t>
            </w:r>
            <w:r w:rsidRPr="008F07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(указать время и дату вскрытия конвертов)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внутренних конвертах должно быть указано: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отметка «оригинал» или «копия»;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наименование предмета конкурса;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наименование участника;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      наименование заказчика и</w:t>
            </w: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его адрес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технической частью»;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ind w:left="5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ценовой частью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ind w:left="5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надпись: «вскрыть после успешного прохождения квалификационного отбора».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 техническом конверте.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Пакет технического предложения должен содержать следующие документы: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- оригинал и копия технического предложения;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9C7F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-</w:t>
            </w:r>
            <w:r w:rsidR="009C7F0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перечень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документации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содержащие полное и </w:t>
            </w:r>
            <w:r w:rsidR="009C7F00" w:rsidRPr="009C7F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подробное описание предлагаемой услуги (работ).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Технические документы участника конкурса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в соответствии с формой №5, прилагаемой к данной инструкции.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shd w:val="clear" w:color="auto" w:fill="FFFFFF" w:themeFill="background1"/>
            <w:hideMark/>
          </w:tcPr>
          <w:p w:rsidR="008F0754" w:rsidRPr="008F0754" w:rsidRDefault="008F0754" w:rsidP="008F0754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Предложения принимаются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  <w:lang w:eastAsia="en-US"/>
              </w:rPr>
              <w:t>до __:__ часов местного времени __ _____ ____ года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адресу: </w:t>
            </w:r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8F0754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101. 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7.18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действия предложения участников должен составлять не менее 60 дней со дня окончания представления предложений.</w:t>
            </w:r>
          </w:p>
        </w:tc>
      </w:tr>
      <w:tr w:rsidR="008F0754" w:rsidRPr="008F0754" w:rsidTr="00185D06"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5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Продление срока предоставления предложений</w:t>
            </w: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Конкурсная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комиссия может принять решение о переносе даты закрытия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(продлении срока представления предложений), которое распространяется на всех участников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Решение о продлении срока принимается только на заседании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Объявления о продлении сроков представления предложений размещается в СМИ и официальном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вэб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-сайте заказчика.</w:t>
            </w:r>
          </w:p>
        </w:tc>
      </w:tr>
      <w:tr w:rsidR="008F0754" w:rsidRPr="008F0754" w:rsidTr="00185D06"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Время, указанное в объявлении как время проведения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ная комиссия для проведения оценки предложений вскрывает конверты с предложениями, поданными участниками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Рабочий орган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комиссии, конверты с предложениями вскрываются в одностороннем порядке.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первом этапе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производится оценка технической части предложения участников. Решение конкурсной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второй этап допускаются участники, прошедшие первый этап.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втором этапе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проводятся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вскрытие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оценка ценовой части предложения. Решение конкурсной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предоставляют Конкурсной комиссии свое заключение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  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установления недостоверности информации, содержащейся в документах, представленных участником, конкурсная комиссия вправе отстранить такого участника от участия в конкурсе на любом этапе.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Оценка предложений и определение победителя производятся на основании критериев, изложенных в конкурсной документации (Приложение №2).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признается надлежаще оформленным, если оно соответствует требованиям Закона, постановлений и конкурсной документации.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Конкурсная комиссия отклоняет предложение, если подавший его участник не соответствует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требованиям, установленным Законом и постановлениями или предложение участника не соответствует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требованиям конкурсной документации.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shd w:val="clear" w:color="auto" w:fill="FFFFFF" w:themeFill="background1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Победителем признается участник, предложивший лучшие условия исполнения договора, при соблюдении требований указанных в конкурсной документации.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 наличии арифметических или иных ошибок конкурсная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Протокол рассмотрения и оценки предложений подписывается всеми членами конкурсной комиссии.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Любой участник вправе направить заказчику запрос о предоставлении разъяснений результатов конкурса. В течение трех рабочих дней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 даты поступления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такого запроса заказчик обязан представить участнику соответствующие разъяснения.</w:t>
            </w:r>
          </w:p>
        </w:tc>
      </w:tr>
      <w:tr w:rsidR="008F0754" w:rsidRPr="008F0754" w:rsidTr="00185D06"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3" w:type="dxa"/>
            <w:hideMark/>
          </w:tcPr>
          <w:p w:rsidR="008F0754" w:rsidRPr="008F0754" w:rsidRDefault="008F0754" w:rsidP="009C7F00">
            <w:pPr>
              <w:spacing w:before="60" w:after="60" w:line="240" w:lineRule="auto"/>
              <w:ind w:right="-108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Ответственность, предусмотренной законодательством Республики Узбекистан, несут:</w:t>
            </w:r>
          </w:p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8F0754" w:rsidRPr="008F0754" w:rsidTr="00185D06"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Прочие условия</w:t>
            </w: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Заказчик вправе принять решение о внесении изменений в конкурсную документацию не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позднее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чем за три дня до даты окончания срока подачи предложений на участие в конкурсе.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Изменение товара (работы, услуги) не допускается. При этом срок окончания подачи предложений в этом конкурсе должен быть продлен не менее чем на десять дней,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 даты внесения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позднее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чем за два дня до даты окончания срока подачи предложений. Разъяснения положений конкурсной документации не должны изменять ее сущность.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изменений в предложение осуществляется в следующем порядке: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      участник представляет в 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конкурсную</w:t>
            </w: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замененный конверт возвращается участнику в невскрытом виде.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 может быть объявлен конкурсной комиссией не состоявшейся: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если в конкурсе принял участие один участник или никто не принял участие;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по результатам рассмотрения предложений конкурсная комиссия отклонила все предложения или только одно предложение соответствует требованиям конкурсной документации;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  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все представленные предложения не содержат необходимый пакет документов.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Невскрытые пакеты участников, отстраненных от участия по решению конкурсной комиссии, возвращаются рабочим органом под роспись в 10 дневной срок после заседания конкурсной комиссии. По истечению указанного срока рабочий орган не несет ответственности за целостность и сохранность пакетов.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</w:t>
            </w:r>
            <w:proofErr w:type="gram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proofErr w:type="gram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официальном </w:t>
            </w:r>
            <w:proofErr w:type="spellStart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вэб</w:t>
            </w:r>
            <w:proofErr w:type="spellEnd"/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-сайте.</w:t>
            </w:r>
          </w:p>
        </w:tc>
      </w:tr>
      <w:tr w:rsidR="008F0754" w:rsidRPr="008F0754" w:rsidTr="00185D06">
        <w:tc>
          <w:tcPr>
            <w:tcW w:w="566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Заключение договора</w:t>
            </w: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C7F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Договор с участником-победителем заключается с </w:t>
            </w:r>
            <w:proofErr w:type="spellStart"/>
            <w:r w:rsidR="009C7F00" w:rsidRPr="009C7F00">
              <w:rPr>
                <w:rFonts w:ascii="Times New Roman" w:hAnsi="Times New Roman" w:cs="Times New Roman"/>
                <w:b/>
                <w:sz w:val="24"/>
                <w:szCs w:val="24"/>
              </w:rPr>
              <w:t>Ангренским</w:t>
            </w:r>
            <w:proofErr w:type="spellEnd"/>
            <w:r w:rsidR="009C7F00" w:rsidRPr="009C7F0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филиалом АО “</w:t>
            </w:r>
            <w:r w:rsidR="009C7F00" w:rsidRPr="009C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9C7F00" w:rsidRPr="009C7F0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="009C7F00" w:rsidRPr="009C7F00">
              <w:rPr>
                <w:sz w:val="24"/>
                <w:szCs w:val="24"/>
                <w:lang w:val="uz-Cyrl-UZ"/>
              </w:rPr>
              <w:t> </w:t>
            </w:r>
            <w:r w:rsidR="009C7F00" w:rsidRPr="009C7F0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Узбекистан”</w:t>
            </w:r>
            <w:r w:rsidRPr="009C7F0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  <w:t xml:space="preserve"> </w:t>
            </w:r>
            <w:r w:rsidRPr="009C7F0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условиях, указанных в конкурсной документации и предложении, поданном</w:t>
            </w: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участником конкурса предложении, поданном участником конкурса.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Участник, объявленный по решению конкурса победителем, получит от заказчика соответствующее письменное извещение.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8F0754" w:rsidRPr="008F0754" w:rsidTr="00185D06">
        <w:tc>
          <w:tcPr>
            <w:tcW w:w="566" w:type="dxa"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8F0754" w:rsidRPr="008F0754" w:rsidRDefault="008F0754" w:rsidP="008F0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284" w:type="dxa"/>
          </w:tcPr>
          <w:p w:rsidR="008F0754" w:rsidRPr="008F0754" w:rsidRDefault="008F0754" w:rsidP="008F0754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3" w:type="dxa"/>
            <w:hideMark/>
          </w:tcPr>
          <w:p w:rsidR="008F0754" w:rsidRPr="008F0754" w:rsidRDefault="008F0754" w:rsidP="008F0754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F07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D04770">
        <w:rPr>
          <w:rFonts w:ascii="Times New Roman" w:hAnsi="Times New Roman" w:cs="Times New Roman"/>
          <w:sz w:val="24"/>
          <w:szCs w:val="24"/>
        </w:rPr>
        <w:t xml:space="preserve"> </w:t>
      </w:r>
      <w:r w:rsidR="00D04770" w:rsidRPr="00D04770">
        <w:rPr>
          <w:rFonts w:ascii="Times New Roman" w:hAnsi="Times New Roman" w:cs="Times New Roman"/>
          <w:sz w:val="24"/>
          <w:szCs w:val="24"/>
        </w:rPr>
        <w:t>отсутствуют задолженности по уплате налогов  и других обязательных платежей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12C0A" w:rsidRPr="00C47042" w:rsidRDefault="00512C0A" w:rsidP="00512C0A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A4190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7A4190">
        <w:lastRenderedPageBreak/>
        <w:t xml:space="preserve">Форма </w:t>
      </w:r>
      <w:r w:rsidRPr="007A4190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A4190" w:rsidRDefault="00327540" w:rsidP="007A4190">
      <w:pPr>
        <w:pStyle w:val="2"/>
        <w:spacing w:line="240" w:lineRule="auto"/>
        <w:ind w:left="10" w:right="54"/>
      </w:pPr>
      <w:r w:rsidRPr="007A4190">
        <w:lastRenderedPageBreak/>
        <w:t xml:space="preserve"> </w:t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841E0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1841E0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EC6051" w:rsidRPr="00EC6051" w:rsidRDefault="00EC6051" w:rsidP="00EC6051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3E6F35">
        <w:rPr>
          <w:rFonts w:ascii="Times New Roman" w:hAnsi="Times New Roman" w:cs="Times New Roman"/>
          <w:sz w:val="24"/>
          <w:szCs w:val="24"/>
        </w:rPr>
        <w:t xml:space="preserve"> задолженности по уплате налогов  и других обязательных платежей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A4190" w:rsidRDefault="00327540" w:rsidP="00661046">
      <w:pPr>
        <w:pStyle w:val="2"/>
        <w:spacing w:line="240" w:lineRule="auto"/>
        <w:ind w:left="10" w:right="54"/>
      </w:pPr>
      <w:r w:rsidRPr="007A4190">
        <w:lastRenderedPageBreak/>
        <w:t>Форма 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1841E0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1841E0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1841E0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 w:rsidRPr="001841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</w:t>
            </w: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57009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82272A" w:rsidRDefault="00957009" w:rsidP="006820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1841E0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1841E0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1841E0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2A" w:rsidRPr="00D8392A" w:rsidRDefault="00D8392A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D8392A">
              <w:rPr>
                <w:sz w:val="24"/>
                <w:szCs w:val="24"/>
              </w:rPr>
              <w:t xml:space="preserve">100% </w:t>
            </w:r>
            <w:r>
              <w:rPr>
                <w:sz w:val="24"/>
                <w:szCs w:val="24"/>
              </w:rPr>
              <w:t>оплата после окончания работ – 10 баллов</w:t>
            </w:r>
          </w:p>
          <w:p w:rsidR="0032074D" w:rsidRPr="001841E0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1841E0">
              <w:rPr>
                <w:sz w:val="24"/>
                <w:szCs w:val="24"/>
              </w:rPr>
              <w:t xml:space="preserve">Авансирование </w:t>
            </w:r>
            <w:r w:rsidR="00C27BAB" w:rsidRPr="001841E0">
              <w:rPr>
                <w:sz w:val="24"/>
                <w:szCs w:val="24"/>
              </w:rPr>
              <w:t>3</w:t>
            </w:r>
            <w:r w:rsidR="00F71E07" w:rsidRPr="001841E0">
              <w:rPr>
                <w:sz w:val="24"/>
                <w:szCs w:val="24"/>
              </w:rPr>
              <w:t>0</w:t>
            </w:r>
            <w:r w:rsidRPr="001841E0">
              <w:rPr>
                <w:sz w:val="24"/>
                <w:szCs w:val="24"/>
              </w:rPr>
              <w:t>% –</w:t>
            </w:r>
            <w:r w:rsidR="00D8392A">
              <w:rPr>
                <w:sz w:val="24"/>
                <w:szCs w:val="24"/>
              </w:rPr>
              <w:t>5</w:t>
            </w:r>
            <w:r w:rsidRPr="001841E0">
              <w:rPr>
                <w:sz w:val="24"/>
                <w:szCs w:val="24"/>
              </w:rPr>
              <w:t xml:space="preserve"> баллов</w:t>
            </w:r>
          </w:p>
          <w:p w:rsidR="00327540" w:rsidRPr="001841E0" w:rsidRDefault="0032074D" w:rsidP="007A4190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1841E0">
              <w:rPr>
                <w:sz w:val="24"/>
                <w:szCs w:val="24"/>
              </w:rPr>
              <w:t xml:space="preserve">Авансирование </w:t>
            </w:r>
            <w:r w:rsidR="007A4190" w:rsidRPr="001841E0">
              <w:rPr>
                <w:sz w:val="24"/>
                <w:szCs w:val="24"/>
              </w:rPr>
              <w:t>более 3</w:t>
            </w:r>
            <w:r w:rsidR="00B74E0C" w:rsidRPr="001841E0">
              <w:rPr>
                <w:sz w:val="24"/>
                <w:szCs w:val="24"/>
              </w:rPr>
              <w:t>0</w:t>
            </w:r>
            <w:r w:rsidRPr="001841E0">
              <w:rPr>
                <w:sz w:val="24"/>
                <w:szCs w:val="24"/>
              </w:rPr>
              <w:t>% –</w:t>
            </w:r>
            <w:r w:rsidR="007A4190" w:rsidRPr="001841E0">
              <w:rPr>
                <w:sz w:val="24"/>
                <w:szCs w:val="24"/>
              </w:rPr>
              <w:t xml:space="preserve"> </w:t>
            </w:r>
            <w:r w:rsidR="007A4190" w:rsidRPr="001841E0">
              <w:rPr>
                <w:sz w:val="24"/>
                <w:szCs w:val="24"/>
              </w:rPr>
              <w:br/>
            </w:r>
            <w:r w:rsidRPr="001841E0">
              <w:rPr>
                <w:sz w:val="24"/>
                <w:szCs w:val="24"/>
              </w:rPr>
              <w:t>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1841E0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1841E0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1841E0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1841E0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1841E0">
              <w:rPr>
                <w:sz w:val="24"/>
                <w:szCs w:val="24"/>
              </w:rPr>
              <w:t xml:space="preserve">2 года – </w:t>
            </w:r>
            <w:r w:rsidR="007A4190" w:rsidRPr="001841E0">
              <w:rPr>
                <w:sz w:val="24"/>
                <w:szCs w:val="24"/>
              </w:rPr>
              <w:t>10</w:t>
            </w:r>
            <w:r w:rsidRPr="001841E0">
              <w:rPr>
                <w:sz w:val="24"/>
                <w:szCs w:val="24"/>
              </w:rPr>
              <w:t xml:space="preserve">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1841E0">
              <w:rPr>
                <w:sz w:val="24"/>
                <w:szCs w:val="24"/>
              </w:rPr>
              <w:t>Нет опыта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190" w:rsidRPr="00C47042" w:rsidRDefault="007A419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7A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841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Опыт работы по аналогичному в конкурсу не менее </w:t>
            </w:r>
            <w:r w:rsidR="007A4190" w:rsidRPr="001841E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1841E0">
              <w:rPr>
                <w:rFonts w:ascii="Times New Roman" w:hAnsi="Times New Roman" w:cs="Times New Roman"/>
                <w:i/>
                <w:sz w:val="20"/>
                <w:szCs w:val="20"/>
              </w:rPr>
              <w:t>х лет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453"/>
        <w:gridCol w:w="6249"/>
      </w:tblGrid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157A2B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</w:t>
            </w:r>
            <w:proofErr w:type="gramEnd"/>
            <w:r w:rsidRPr="00157A2B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/п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Ангренском</w:t>
            </w:r>
            <w:proofErr w:type="spellEnd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филиале АО «Национальный банк внешнеэкономической деятельности Республики Узбекистан»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proofErr w:type="spell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Техникстройтранс</w:t>
            </w:r>
            <w:proofErr w:type="spellEnd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</w:t>
            </w:r>
            <w:proofErr w:type="gram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механизмов</w:t>
            </w:r>
            <w:proofErr w:type="gramEnd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ицированных рабочих (каменщик, </w:t>
            </w: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штукатурщик, маляр) на постоянной основе не менее 2 человек;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</w:t>
            </w:r>
            <w:proofErr w:type="gram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строительстве</w:t>
            </w:r>
            <w:proofErr w:type="gramEnd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250" w:type="dxa"/>
            <w:vAlign w:val="center"/>
          </w:tcPr>
          <w:p w:rsid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Участники: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  <w:proofErr w:type="gram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Едино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</w:t>
            </w: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у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имеется</w:t>
            </w: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просроченная дебиторская задолженность перед бюджетом и поставщиками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proofErr w:type="gram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</w:t>
            </w:r>
            <w:proofErr w:type="gramEnd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дверью, полы из керамической плитки, потолок пластиковые, </w:t>
            </w:r>
            <w:proofErr w:type="spell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шириной 0,6 м по периметру здания, улучшенная штукатурка с последующей окраской ВДК, фасадная часть </w:t>
            </w: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10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согласно</w:t>
            </w:r>
            <w:proofErr w:type="gramEnd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</w:t>
            </w:r>
            <w:proofErr w:type="gram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157A2B" w:rsidRPr="00157A2B" w:rsidTr="008F0754">
        <w:tc>
          <w:tcPr>
            <w:tcW w:w="868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</w:t>
            </w:r>
          </w:p>
        </w:tc>
        <w:tc>
          <w:tcPr>
            <w:tcW w:w="2453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250" w:type="dxa"/>
            <w:vAlign w:val="center"/>
          </w:tcPr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дневный</w:t>
            </w:r>
            <w:proofErr w:type="spellEnd"/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157A2B" w:rsidRPr="00157A2B" w:rsidRDefault="00157A2B" w:rsidP="00157A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57A2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7A4190" w:rsidP="00157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57A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4C6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57A2B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DB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A2B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B9694A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B9694A" w:rsidRDefault="007A4190" w:rsidP="000324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аванса на счет подрядчика, окончание через </w:t>
            </w:r>
            <w:r w:rsidR="00075AEC" w:rsidRPr="00B96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540"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157A2B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Ангренский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Строительство банковского экспресс</w:t>
      </w:r>
      <w:proofErr w:type="gram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пункта 24/7 работающий круглосуточно в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Ангренском</w:t>
      </w:r>
      <w:proofErr w:type="spellEnd"/>
      <w:r w:rsidR="007A4190" w:rsidRPr="00E62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157A2B">
        <w:rPr>
          <w:rFonts w:ascii="Times New Roman" w:hAnsi="Times New Roman" w:cs="Times New Roman"/>
          <w:b/>
          <w:color w:val="auto"/>
          <w:sz w:val="24"/>
          <w:szCs w:val="24"/>
        </w:rPr>
        <w:t>Ангренском</w:t>
      </w:r>
      <w:proofErr w:type="spellEnd"/>
      <w:r w:rsidR="007A4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</w:t>
      </w:r>
      <w:r w:rsidR="001644B7">
        <w:rPr>
          <w:rFonts w:ascii="Times New Roman" w:hAnsi="Times New Roman" w:cs="Times New Roman"/>
          <w:sz w:val="24"/>
          <w:szCs w:val="24"/>
        </w:rPr>
        <w:t>не менее 3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Default="00DA0631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DA0631" w:rsidRPr="000666E6" w:rsidRDefault="00DA0631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157A2B">
        <w:rPr>
          <w:rFonts w:ascii="Times New Roman" w:hAnsi="Times New Roman" w:cs="Times New Roman"/>
          <w:sz w:val="24"/>
          <w:szCs w:val="24"/>
        </w:rPr>
        <w:t>Ангренском</w:t>
      </w:r>
      <w:proofErr w:type="spellEnd"/>
      <w:r w:rsidR="007A4190" w:rsidRPr="007B5596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филиале АО «Национальный банк </w:t>
      </w:r>
      <w:r w:rsidR="00562E74"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тыс.сум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C230DD">
      <w:type w:val="continuous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51" w:rsidRDefault="00016E51">
      <w:pPr>
        <w:spacing w:after="0" w:line="240" w:lineRule="auto"/>
      </w:pPr>
      <w:r>
        <w:separator/>
      </w:r>
    </w:p>
  </w:endnote>
  <w:endnote w:type="continuationSeparator" w:id="0">
    <w:p w:rsidR="00016E51" w:rsidRDefault="0001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54" w:rsidRDefault="008F075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033E02">
      <w:rPr>
        <w:rFonts w:ascii="Cambria" w:hAnsi="Cambria" w:cs="Cambria"/>
        <w:noProof/>
        <w:sz w:val="24"/>
      </w:rPr>
      <w:t>28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8F0754" w:rsidRDefault="008F075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54" w:rsidRDefault="008F075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033E02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8F0754" w:rsidRDefault="008F075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54" w:rsidRDefault="008F075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8F0754" w:rsidRDefault="008F075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51" w:rsidRDefault="00016E51">
      <w:pPr>
        <w:spacing w:after="0" w:line="240" w:lineRule="auto"/>
      </w:pPr>
      <w:r>
        <w:separator/>
      </w:r>
    </w:p>
  </w:footnote>
  <w:footnote w:type="continuationSeparator" w:id="0">
    <w:p w:rsidR="00016E51" w:rsidRDefault="0001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54" w:rsidRDefault="008F07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54" w:rsidRDefault="008F07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54" w:rsidRDefault="008F07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3A50"/>
    <w:rsid w:val="00016E51"/>
    <w:rsid w:val="0002096B"/>
    <w:rsid w:val="000233E1"/>
    <w:rsid w:val="00024BA2"/>
    <w:rsid w:val="00032466"/>
    <w:rsid w:val="00033DAD"/>
    <w:rsid w:val="00033E02"/>
    <w:rsid w:val="000369AE"/>
    <w:rsid w:val="0004243B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248CA"/>
    <w:rsid w:val="00131C91"/>
    <w:rsid w:val="0013246E"/>
    <w:rsid w:val="00133511"/>
    <w:rsid w:val="00135622"/>
    <w:rsid w:val="00143A9C"/>
    <w:rsid w:val="00153BE1"/>
    <w:rsid w:val="00157A2B"/>
    <w:rsid w:val="00163D54"/>
    <w:rsid w:val="001644B7"/>
    <w:rsid w:val="00165587"/>
    <w:rsid w:val="00176E98"/>
    <w:rsid w:val="0018180B"/>
    <w:rsid w:val="001841E0"/>
    <w:rsid w:val="00185D06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6038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3011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22E5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06C6"/>
    <w:rsid w:val="0074386B"/>
    <w:rsid w:val="00746628"/>
    <w:rsid w:val="00751BC6"/>
    <w:rsid w:val="007541DF"/>
    <w:rsid w:val="007558D2"/>
    <w:rsid w:val="00770492"/>
    <w:rsid w:val="00772BD4"/>
    <w:rsid w:val="00774891"/>
    <w:rsid w:val="00797007"/>
    <w:rsid w:val="007A0E5A"/>
    <w:rsid w:val="007A4190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0754"/>
    <w:rsid w:val="008F1D55"/>
    <w:rsid w:val="008F324A"/>
    <w:rsid w:val="0090072B"/>
    <w:rsid w:val="009061BE"/>
    <w:rsid w:val="00913E3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57009"/>
    <w:rsid w:val="00962427"/>
    <w:rsid w:val="00965C65"/>
    <w:rsid w:val="00972250"/>
    <w:rsid w:val="00972C2F"/>
    <w:rsid w:val="00974A4A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C7F00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09DF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1D03"/>
    <w:rsid w:val="00B466ED"/>
    <w:rsid w:val="00B60452"/>
    <w:rsid w:val="00B6133D"/>
    <w:rsid w:val="00B65D9D"/>
    <w:rsid w:val="00B703F0"/>
    <w:rsid w:val="00B74E0C"/>
    <w:rsid w:val="00B91D10"/>
    <w:rsid w:val="00B94ECE"/>
    <w:rsid w:val="00B9694A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30DD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770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392A"/>
    <w:rsid w:val="00D84693"/>
    <w:rsid w:val="00D90B1F"/>
    <w:rsid w:val="00D96020"/>
    <w:rsid w:val="00D972F6"/>
    <w:rsid w:val="00DA0631"/>
    <w:rsid w:val="00DA4485"/>
    <w:rsid w:val="00DB12F5"/>
    <w:rsid w:val="00DB1E79"/>
    <w:rsid w:val="00DB2C4D"/>
    <w:rsid w:val="00DB4C65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C6051"/>
    <w:rsid w:val="00EE3E15"/>
    <w:rsid w:val="00EE6E9E"/>
    <w:rsid w:val="00EE75FF"/>
    <w:rsid w:val="00EF2D33"/>
    <w:rsid w:val="00F01443"/>
    <w:rsid w:val="00F05416"/>
    <w:rsid w:val="00F14EE9"/>
    <w:rsid w:val="00F24232"/>
    <w:rsid w:val="00F313CB"/>
    <w:rsid w:val="00F327FA"/>
    <w:rsid w:val="00F36AE6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xarid.u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mansurov@nbu.uz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B57C-C248-44A2-9D6E-98D2AD4B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6448</Words>
  <Characters>36755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2020-10-23T11:20:00Z</cp:lastPrinted>
  <dcterms:created xsi:type="dcterms:W3CDTF">2020-11-27T08:44:00Z</dcterms:created>
  <dcterms:modified xsi:type="dcterms:W3CDTF">2020-11-27T08:44:00Z</dcterms:modified>
</cp:coreProperties>
</file>