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108" w:type="dxa"/>
        <w:tblLook w:val="01E0" w:firstRow="1" w:lastRow="1" w:firstColumn="1" w:lastColumn="1" w:noHBand="0" w:noVBand="0"/>
      </w:tblPr>
      <w:tblGrid>
        <w:gridCol w:w="3969"/>
      </w:tblGrid>
      <w:tr w:rsidR="00484D67" w:rsidRPr="00C47042" w:rsidTr="001248CA">
        <w:tc>
          <w:tcPr>
            <w:tcW w:w="3969" w:type="dxa"/>
          </w:tcPr>
          <w:p w:rsidR="00484D67" w:rsidRPr="00872A83" w:rsidRDefault="00484D67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  <w:bookmarkStart w:id="2" w:name="_GoBack"/>
            <w:bookmarkEnd w:id="2"/>
          </w:p>
        </w:tc>
      </w:tr>
      <w:tr w:rsidR="00484D67" w:rsidRPr="00C47042" w:rsidTr="001248CA">
        <w:trPr>
          <w:trHeight w:val="2593"/>
        </w:trPr>
        <w:tc>
          <w:tcPr>
            <w:tcW w:w="3969" w:type="dxa"/>
          </w:tcPr>
          <w:p w:rsidR="00C230DD" w:rsidRPr="00872A83" w:rsidRDefault="00C230DD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0DD" w:rsidRPr="00C47042" w:rsidTr="001248CA">
        <w:trPr>
          <w:trHeight w:val="74"/>
        </w:trPr>
        <w:tc>
          <w:tcPr>
            <w:tcW w:w="3969" w:type="dxa"/>
          </w:tcPr>
          <w:p w:rsidR="00C230DD" w:rsidRPr="00872A83" w:rsidRDefault="00C230DD" w:rsidP="00C230DD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0DD" w:rsidRPr="00C47042" w:rsidTr="001248CA">
        <w:trPr>
          <w:trHeight w:val="2735"/>
        </w:trPr>
        <w:tc>
          <w:tcPr>
            <w:tcW w:w="3969" w:type="dxa"/>
          </w:tcPr>
          <w:p w:rsidR="001248CA" w:rsidRPr="00872A83" w:rsidRDefault="001248CA" w:rsidP="004B3011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C230DD" w:rsidRDefault="00C230D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248CA" w:rsidRPr="00C230DD" w:rsidRDefault="001248C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  <w:sectPr w:rsidR="001248CA" w:rsidRPr="00C230DD" w:rsidSect="00C230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709" w:left="1701" w:header="720" w:footer="720" w:gutter="0"/>
          <w:cols w:num="2" w:space="720"/>
        </w:sectPr>
      </w:pPr>
    </w:p>
    <w:p w:rsidR="00327540" w:rsidRPr="00C230DD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C230DD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C230DD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4B3011">
        <w:rPr>
          <w:rFonts w:ascii="Times New Roman" w:hAnsi="Times New Roman"/>
          <w:sz w:val="28"/>
          <w:szCs w:val="28"/>
        </w:rPr>
        <w:t>Бекабадском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9"/>
        <w:gridCol w:w="284"/>
        <w:gridCol w:w="6523"/>
      </w:tblGrid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Общие положения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Настоящая конкурсная документация разработана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 xml:space="preserve">в соответствии с требованиями Закона Республики Узбекистан «О государственных закупках» (далее - Закон), постановлениями Президента Республики Узбекистан от 20 февраля 2018 года №ПП-3550 «О мерах по совершенствованию порядка проведения экспертизы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предпроектной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проектной, тендерной документации и контрактов.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Предмет конкурса: </w:t>
            </w:r>
          </w:p>
          <w:p w:rsidR="00905FC2" w:rsidRPr="008F0754" w:rsidRDefault="00905FC2" w:rsidP="00905FC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конкурса: </w:t>
            </w:r>
            <w:r w:rsidRPr="004B3011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011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экспресс пункта 24/7 работающий круглосуточно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Бекабадском</w:t>
            </w:r>
            <w:proofErr w:type="spellEnd"/>
            <w:r w:rsidRPr="004B3011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внешнеэкономической деятельности Республики Узбекистан»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составляет:                   </w:t>
            </w:r>
            <w:r w:rsidRPr="00D04770">
              <w:rPr>
                <w:rFonts w:ascii="Times New Roman" w:hAnsi="Times New Roman" w:cs="Times New Roman"/>
                <w:sz w:val="24"/>
                <w:szCs w:val="24"/>
              </w:rPr>
              <w:t xml:space="preserve">96 082 560,00 </w:t>
            </w:r>
            <w:proofErr w:type="spellStart"/>
            <w:r w:rsidRPr="00D04770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4770">
              <w:rPr>
                <w:rFonts w:ascii="Times New Roman" w:hAnsi="Times New Roman" w:cs="Times New Roman"/>
                <w:sz w:val="24"/>
                <w:szCs w:val="24"/>
              </w:rPr>
              <w:t>девяносто шесть миллионов восемьдесят две тысячи пятьсот шестьдесят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Цены, указанные в предложении, не должны превышать предельную стоимость.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закупаемую услугу (работ) представлено в технической части конкурсной документации.</w:t>
            </w:r>
          </w:p>
        </w:tc>
      </w:tr>
      <w:tr w:rsidR="00905FC2" w:rsidRPr="008F0754" w:rsidTr="00905FC2">
        <w:trPr>
          <w:trHeight w:val="461"/>
        </w:trPr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Формы заседания конкурсной комиссии –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очная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Организаторы конкурса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Узнацбанк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», «Банк») конкурса.</w:t>
            </w:r>
          </w:p>
          <w:p w:rsidR="00905FC2" w:rsidRPr="008F0754" w:rsidRDefault="00905FC2" w:rsidP="0077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 «Заказчика»: 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Реквизиты «Заказчика»: 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МФО: 00450;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ИНН: 200836354;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905FC2" w:rsidRPr="008F0754" w:rsidRDefault="00905FC2" w:rsidP="00773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Рабочим органом комиссии является Служба организации закупок при Департаменте стратегического развития банка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Банка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(далее - «Рабочий орган»).</w:t>
            </w:r>
          </w:p>
          <w:p w:rsidR="00905FC2" w:rsidRPr="008F0754" w:rsidRDefault="00905FC2" w:rsidP="0077373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Адрес: 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905FC2" w:rsidRPr="008F0754" w:rsidRDefault="00905FC2" w:rsidP="0077373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Контактное лицо Организатора: Мансуров А. Р.</w:t>
            </w:r>
          </w:p>
          <w:p w:rsidR="00905FC2" w:rsidRPr="008F0754" w:rsidRDefault="00905FC2" w:rsidP="0077373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Тел: +99878 147 15 27 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внутр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.: 17-70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E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-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mail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: </w:t>
            </w:r>
            <w:hyperlink r:id="rId15" w:history="1"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Amansurov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@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nbu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.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uz</w:t>
              </w:r>
            </w:hyperlink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Договородержатель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Ангренский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филиал АО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«Национальный банк внешнеэкономической деятельности Республики Узбекистан».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Участники конкурса</w:t>
            </w: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3.1</w:t>
            </w:r>
          </w:p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конкурсе могут принять участие любые юридические лица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независимо от форм собственности, за исключением юридических лиц, приведенных в ИУК 5.3.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 должны соответствовать следующим критериям: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 наличие необходимых технических, финансовых, материальных, кадровых и других ресурсов для исполнения договора;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правомочность на заключение договора;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отсутствие задолженности по уплате налогов и других обязательных платежей; 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 отсутствие введенных в отношении них процедур банкротства;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 отсутствие судебного или арбитражного разбирательства с «Заказчиком»;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отсутствие записи о них в Едином реестре недобросовестных исполнителей.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69" w:type="dxa"/>
            <w:gridSpan w:val="4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конкурсе</w:t>
            </w:r>
            <w:proofErr w:type="gramEnd"/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</w:p>
        </w:tc>
      </w:tr>
      <w:tr w:rsidR="00905FC2" w:rsidRPr="008F0754" w:rsidTr="00905FC2">
        <w:trPr>
          <w:trHeight w:val="3505"/>
        </w:trPr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Порядок получения конкурсной документации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участия в конкурсе, участник должен: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а) получить электронную версию конкурсной документации, размещенную на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вэб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-сайте </w:t>
            </w:r>
            <w:hyperlink r:id="rId16" w:history="1">
              <w:r w:rsidRPr="008F0754">
                <w:rPr>
                  <w:rFonts w:ascii="Times New Roman" w:eastAsia="Calibri" w:hAnsi="Times New Roman" w:cs="Times New Roman"/>
                  <w:color w:val="auto"/>
                  <w:sz w:val="24"/>
                  <w:szCs w:val="24"/>
                  <w:u w:val="single"/>
                  <w:lang w:eastAsia="en-US"/>
                </w:rPr>
                <w:t>www.nbu.uz</w:t>
              </w:r>
            </w:hyperlink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Pr="008F0754">
                <w:rPr>
                  <w:rFonts w:ascii="Times New Roman" w:eastAsia="Calibri" w:hAnsi="Times New Roman" w:cs="Times New Roman"/>
                  <w:color w:val="auto"/>
                  <w:sz w:val="24"/>
                  <w:szCs w:val="24"/>
                  <w:u w:val="single"/>
                  <w:lang w:eastAsia="en-US"/>
                </w:rPr>
                <w:t>www.xarid.uz</w:t>
              </w:r>
            </w:hyperlink>
            <w:r w:rsidRPr="008F07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,</w:t>
            </w:r>
            <w:r w:rsidRPr="008F07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ознакомления с условиями закупки,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письме должно содержаться наименование участника, предмет конкурса, а также адрес и банковские реквизиты участника;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     б) подать квалификационные документы и предложение в соответствии с требованиями на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Перед началом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 квалификационном отборе участников,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 участию в конкурсе не допускаются организации: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предоставившие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bookmarkStart w:id="3" w:name="_Hlk515441361"/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на стадии реорганизации, ликвидации или банкротства;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Едином реестре недобросовестных исполнителей;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Критерии квалификационной оценки представлены в Приложении №2</w:t>
            </w:r>
          </w:p>
        </w:tc>
      </w:tr>
      <w:bookmarkEnd w:id="3"/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отстраняет участника от участия в конкурсе, если: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Язык конкурса, единица измерений.</w:t>
            </w:r>
          </w:p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Предложение и вся связанная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Предложение и порядок его оформления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Предложение участника передается в рабочий орган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вправе подать только одно предложение;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состоит из двух частей: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себе подробное описание предлагаемой услуги;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ценовая часть должна соответствовать условиям конкурса и содержать следующую информацию: наименование услуги (работ), цена услуги, итоговая сумма, условия поставки, условия платежа, срок действия предложения и т.п.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оформляется нижеследующим образом.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внешний конверт;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внутренний конверт с техническим предложением;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внутренний конверт с ценовым предложением. 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внешнем конверте должно быть указано: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отметка «оригинал» или «копия»;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предмета конкурса;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участника;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надпись «Внешний конверт»;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  наименование </w:t>
            </w:r>
            <w:bookmarkStart w:id="4" w:name="_Hlk505348253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заказчика и</w:t>
            </w: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его адрес;</w:t>
            </w:r>
            <w:bookmarkEnd w:id="4"/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  надпись «не вскрывать до последнего срока подачи предложений </w:t>
            </w:r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(указать время и дату вскрытия конвертов)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внутренних конвертах должно быть указано: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отметка «оригинал» или «копия»;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предмета конкурса;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участника;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заказчика и</w:t>
            </w: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его адрес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технической частью»;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ind w:left="5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ценовой частью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ind w:left="5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надпись: «вскрыть после успешного прохождения квалификационного отбора».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 техническом конверте.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Пакет технического предложения должен содержать следующие документы: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- оригинал и копия технического предложения;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документации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содержащие полное и </w:t>
            </w:r>
            <w:r w:rsidRPr="009C7F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подробное описание предлагаемой услуги (работ).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в соответствии с формой №5, прилагаемой к данной инструкции.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shd w:val="clear" w:color="auto" w:fill="FFFFFF" w:themeFill="background1"/>
            <w:hideMark/>
          </w:tcPr>
          <w:p w:rsidR="00905FC2" w:rsidRPr="008F0754" w:rsidRDefault="00905FC2" w:rsidP="00773735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Предложения принимаются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lang w:eastAsia="en-US"/>
              </w:rPr>
              <w:t>до __:__ часов местного времени __ _____ ____ года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адресу: 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101. 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7.18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действия предложения участников должен составлять не менее 60 дней со дня окончания представления предложений.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Продление срока предоставления предложений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комиссия может принять решение о переносе даты закрытия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Решение о продлении срока принимается только на заседании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Объявления о продлении сроков представления предложений размещается в СМИ и официальном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вэб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-сайте заказчика.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Время, указанное в объявлении как время проведения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Рабочий орган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первом этапе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второй этап допускаются участники, прошедшие первый этап.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втором этапе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проводятся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вскрытие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предоставляют Конкурсной комиссии свое заключение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  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отклоняет предложение, если подавший его участник не соответствует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требованиям, установленным Законом и постановлениями или предложение участника не соответствует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требованиям конкурсной документации.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shd w:val="clear" w:color="auto" w:fill="FFFFFF" w:themeFill="background1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Победителем признается участник, предложивший лучшие условия исполнения договора, при соблюдении требований указанных в конкурсной документации.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Любой участник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 даты поступления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такого запроса заказчик обязан представить участнику соответствующие разъяснения.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ind w:right="-108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Ответственность, предусмотренной законодательством Республики Узбекистан, несут:</w:t>
            </w:r>
          </w:p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Прочие условия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Заказчик вправе принять решение о внесении изменений в конкурсную документацию не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позднее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чем за три дня до даты окончания срока подачи предложений на участие в конкурсе.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 даты внесения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позднее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изменений в предложение осуществляется в следующем порядке: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      участник представляет в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конкурсную</w:t>
            </w: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замененный конверт возвращается участнику в невскрытом виде.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может быть объявлен конкурсной комиссией не состоявшейся: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если в конкурсе принял участие один участник или никто не принял участие;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все представленные предложения не содержат необходимый пакет документов.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официальном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вэб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-сайте.</w:t>
            </w:r>
          </w:p>
        </w:tc>
      </w:tr>
      <w:tr w:rsidR="00905FC2" w:rsidRPr="008F0754" w:rsidTr="00905FC2">
        <w:tc>
          <w:tcPr>
            <w:tcW w:w="566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Заключение договора</w:t>
            </w: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C7F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Договор с участником-победителем заключается с </w:t>
            </w:r>
            <w:proofErr w:type="spellStart"/>
            <w:r w:rsidRPr="009C7F00">
              <w:rPr>
                <w:rFonts w:ascii="Times New Roman" w:hAnsi="Times New Roman" w:cs="Times New Roman"/>
                <w:b/>
                <w:sz w:val="24"/>
                <w:szCs w:val="24"/>
              </w:rPr>
              <w:t>Ангренским</w:t>
            </w:r>
            <w:proofErr w:type="spellEnd"/>
            <w:r w:rsidRPr="009C7F0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филиалом АО “</w:t>
            </w:r>
            <w:r w:rsidRPr="009C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Pr="009C7F0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Pr="009C7F00">
              <w:rPr>
                <w:sz w:val="24"/>
                <w:szCs w:val="24"/>
                <w:lang w:val="uz-Cyrl-UZ"/>
              </w:rPr>
              <w:t> </w:t>
            </w:r>
            <w:r w:rsidRPr="009C7F0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Узбекистан”</w:t>
            </w:r>
            <w:r w:rsidRPr="009C7F0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  <w:t xml:space="preserve"> </w:t>
            </w:r>
            <w:r w:rsidRPr="009C7F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условиях, указанных в конкурсной документации и предложении, поданном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участником конкурса предложении, поданном участником конкурса.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905FC2" w:rsidRPr="008F0754" w:rsidTr="00905FC2">
        <w:tc>
          <w:tcPr>
            <w:tcW w:w="566" w:type="dxa"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905FC2" w:rsidRPr="008F0754" w:rsidRDefault="00905FC2" w:rsidP="0077373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284" w:type="dxa"/>
          </w:tcPr>
          <w:p w:rsidR="00905FC2" w:rsidRPr="008F0754" w:rsidRDefault="00905FC2" w:rsidP="00773735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905FC2" w:rsidRPr="008F0754" w:rsidRDefault="00905FC2" w:rsidP="00773735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D04770">
        <w:rPr>
          <w:rFonts w:ascii="Times New Roman" w:hAnsi="Times New Roman" w:cs="Times New Roman"/>
          <w:sz w:val="24"/>
          <w:szCs w:val="24"/>
        </w:rPr>
        <w:t xml:space="preserve"> </w:t>
      </w:r>
      <w:r w:rsidR="00D04770" w:rsidRPr="00D04770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 и других обязательных платежей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7A4190">
        <w:lastRenderedPageBreak/>
        <w:t xml:space="preserve">Форма </w:t>
      </w:r>
      <w:r w:rsidRPr="007A4190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7A4190">
      <w:pPr>
        <w:pStyle w:val="2"/>
        <w:spacing w:line="240" w:lineRule="auto"/>
        <w:ind w:left="10" w:right="54"/>
      </w:pPr>
      <w:r w:rsidRPr="007A4190">
        <w:lastRenderedPageBreak/>
        <w:t xml:space="preserve"> </w:t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37123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71230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EC6051" w:rsidRPr="00EC6051" w:rsidRDefault="00EC6051" w:rsidP="00EC6051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661046">
      <w:pPr>
        <w:pStyle w:val="2"/>
        <w:spacing w:line="240" w:lineRule="auto"/>
        <w:ind w:left="10" w:right="54"/>
      </w:pPr>
      <w:r w:rsidRPr="007A4190">
        <w:lastRenderedPageBreak/>
        <w:t>Форма 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371230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371230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23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371230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30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3712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1230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30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82272A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66D" w:rsidRPr="001841E0" w:rsidTr="00EC717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6D" w:rsidRPr="001841E0" w:rsidRDefault="00D7666D" w:rsidP="00EC717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6D" w:rsidRPr="001841E0" w:rsidRDefault="00D7666D" w:rsidP="00EC717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6D" w:rsidRPr="00D8392A" w:rsidRDefault="00D7666D" w:rsidP="00EC717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D8392A"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</w:rPr>
              <w:t>оплата после окончания работ – 10 баллов</w:t>
            </w:r>
          </w:p>
          <w:p w:rsidR="00D7666D" w:rsidRPr="001841E0" w:rsidRDefault="00D7666D" w:rsidP="00EC717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1841E0">
              <w:rPr>
                <w:sz w:val="24"/>
                <w:szCs w:val="24"/>
              </w:rPr>
              <w:t>Авансирование 30% –</w:t>
            </w:r>
            <w:r>
              <w:rPr>
                <w:sz w:val="24"/>
                <w:szCs w:val="24"/>
              </w:rPr>
              <w:t>5</w:t>
            </w:r>
            <w:r w:rsidRPr="001841E0">
              <w:rPr>
                <w:sz w:val="24"/>
                <w:szCs w:val="24"/>
              </w:rPr>
              <w:t xml:space="preserve"> баллов</w:t>
            </w:r>
          </w:p>
          <w:p w:rsidR="00D7666D" w:rsidRPr="001841E0" w:rsidRDefault="00D7666D" w:rsidP="00EC717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1841E0">
              <w:rPr>
                <w:sz w:val="24"/>
                <w:szCs w:val="24"/>
              </w:rPr>
              <w:t xml:space="preserve">Авансирование более 30% – </w:t>
            </w:r>
            <w:r w:rsidRPr="001841E0">
              <w:rPr>
                <w:sz w:val="24"/>
                <w:szCs w:val="24"/>
              </w:rPr>
              <w:br/>
              <w:t>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6D" w:rsidRPr="001841E0" w:rsidRDefault="00D7666D" w:rsidP="00EC7172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371230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1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371230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1230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371230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371230">
              <w:rPr>
                <w:sz w:val="24"/>
                <w:szCs w:val="24"/>
              </w:rPr>
              <w:t xml:space="preserve">2 года – </w:t>
            </w:r>
            <w:r w:rsidR="007A4190" w:rsidRPr="00371230">
              <w:rPr>
                <w:sz w:val="24"/>
                <w:szCs w:val="24"/>
              </w:rPr>
              <w:t>10</w:t>
            </w:r>
            <w:r w:rsidRPr="00371230">
              <w:rPr>
                <w:sz w:val="24"/>
                <w:szCs w:val="24"/>
              </w:rPr>
              <w:t xml:space="preserve">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371230">
              <w:rPr>
                <w:sz w:val="24"/>
                <w:szCs w:val="24"/>
              </w:rPr>
              <w:t>Нет опыта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190" w:rsidRPr="00C47042" w:rsidRDefault="007A419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7A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71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7A4190" w:rsidRPr="0037123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371230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03246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03246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Бекабадском</w:t>
            </w:r>
            <w:proofErr w:type="spell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5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Техникстройтранс</w:t>
            </w:r>
            <w:proofErr w:type="spell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6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ицированных рабочих (каменщик, 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ых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ах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2 года (прилагать подтверждающие документы).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411B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</w:t>
            </w:r>
            <w:r w:rsidR="00411B0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конкурс</w:t>
            </w:r>
            <w:r w:rsidR="00411B0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</w:p>
        </w:tc>
        <w:tc>
          <w:tcPr>
            <w:tcW w:w="6249" w:type="dxa"/>
            <w:vAlign w:val="center"/>
          </w:tcPr>
          <w:p w:rsid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Участники: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gram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Едино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имеются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просроченн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ая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дебиторская задолженность перед бюджетом и поставщиками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шириной 0,6 м по периметру здания, улучшенная штукатурка с последующей окраской ВДК, фасадная часть </w:t>
            </w: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032466" w:rsidRPr="00032466" w:rsidTr="00032466">
        <w:tc>
          <w:tcPr>
            <w:tcW w:w="868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453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249" w:type="dxa"/>
            <w:vAlign w:val="center"/>
          </w:tcPr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032466" w:rsidRPr="00032466" w:rsidRDefault="00032466" w:rsidP="000324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324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7A4190" w:rsidP="007A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DB4C6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082</w:t>
            </w:r>
            <w:r w:rsidR="00DB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7A4190" w:rsidP="00032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075AEC" w:rsidRPr="00B96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540"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7A4190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Бекабадский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Бекабадском</w:t>
      </w:r>
      <w:proofErr w:type="spellEnd"/>
      <w:r w:rsidRPr="00E6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7A4190">
        <w:rPr>
          <w:rFonts w:ascii="Times New Roman" w:hAnsi="Times New Roman" w:cs="Times New Roman"/>
          <w:b/>
          <w:color w:val="auto"/>
          <w:sz w:val="24"/>
          <w:szCs w:val="24"/>
        </w:rPr>
        <w:t>Бекабадском</w:t>
      </w:r>
      <w:proofErr w:type="spellEnd"/>
      <w:r w:rsidR="007A4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</w:t>
      </w:r>
      <w:r w:rsidR="001644B7"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Default="00DA0631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DA0631" w:rsidRPr="000666E6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7A4190" w:rsidRPr="007A4190">
        <w:rPr>
          <w:rFonts w:ascii="Times New Roman" w:hAnsi="Times New Roman" w:cs="Times New Roman"/>
          <w:sz w:val="24"/>
          <w:szCs w:val="24"/>
        </w:rPr>
        <w:t>Бекабадском</w:t>
      </w:r>
      <w:proofErr w:type="spellEnd"/>
      <w:r w:rsidR="007A4190" w:rsidRPr="007B5596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C230DD"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C5" w:rsidRDefault="00C852C5">
      <w:pPr>
        <w:spacing w:after="0" w:line="240" w:lineRule="auto"/>
      </w:pPr>
      <w:r>
        <w:separator/>
      </w:r>
    </w:p>
  </w:endnote>
  <w:endnote w:type="continuationSeparator" w:id="0">
    <w:p w:rsidR="00C852C5" w:rsidRDefault="00C8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B" w:rsidRDefault="0004243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8148C8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04243B" w:rsidRDefault="0004243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B" w:rsidRDefault="0004243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8148C8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04243B" w:rsidRDefault="0004243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B" w:rsidRDefault="0004243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04243B" w:rsidRDefault="0004243B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C5" w:rsidRDefault="00C852C5">
      <w:pPr>
        <w:spacing w:after="0" w:line="240" w:lineRule="auto"/>
      </w:pPr>
      <w:r>
        <w:separator/>
      </w:r>
    </w:p>
  </w:footnote>
  <w:footnote w:type="continuationSeparator" w:id="0">
    <w:p w:rsidR="00C852C5" w:rsidRDefault="00C8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B" w:rsidRDefault="0004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B" w:rsidRDefault="0004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B" w:rsidRDefault="000424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2096B"/>
    <w:rsid w:val="000233E1"/>
    <w:rsid w:val="00024BA2"/>
    <w:rsid w:val="00032466"/>
    <w:rsid w:val="00033DAD"/>
    <w:rsid w:val="000369AE"/>
    <w:rsid w:val="0004243B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248CA"/>
    <w:rsid w:val="00131C91"/>
    <w:rsid w:val="0013246E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71230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1B0C"/>
    <w:rsid w:val="0041592B"/>
    <w:rsid w:val="0042277E"/>
    <w:rsid w:val="00426BDE"/>
    <w:rsid w:val="00437A9F"/>
    <w:rsid w:val="00444B0F"/>
    <w:rsid w:val="00450B8D"/>
    <w:rsid w:val="00456038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3011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22E5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06C6"/>
    <w:rsid w:val="0074386B"/>
    <w:rsid w:val="00746628"/>
    <w:rsid w:val="00751BC6"/>
    <w:rsid w:val="007541DF"/>
    <w:rsid w:val="007558D2"/>
    <w:rsid w:val="00770492"/>
    <w:rsid w:val="00772BD4"/>
    <w:rsid w:val="00774891"/>
    <w:rsid w:val="00797007"/>
    <w:rsid w:val="007A0E5A"/>
    <w:rsid w:val="007A4190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48C8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90072B"/>
    <w:rsid w:val="00905FC2"/>
    <w:rsid w:val="009061BE"/>
    <w:rsid w:val="00913E3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1D03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30DD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852C5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70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7666D"/>
    <w:rsid w:val="00D81061"/>
    <w:rsid w:val="00D81751"/>
    <w:rsid w:val="00D81A6C"/>
    <w:rsid w:val="00D826D1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C6051"/>
    <w:rsid w:val="00EE3E15"/>
    <w:rsid w:val="00EE6E9E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xarid.u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mansurov@nbu.u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3EFB-4A42-44DE-B82F-A1380969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2020-10-23T11:20:00Z</cp:lastPrinted>
  <dcterms:created xsi:type="dcterms:W3CDTF">2020-11-27T08:34:00Z</dcterms:created>
  <dcterms:modified xsi:type="dcterms:W3CDTF">2020-11-27T08:34:00Z</dcterms:modified>
</cp:coreProperties>
</file>